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84A08">
      <w:pPr>
        <w:pStyle w:val="9"/>
        <w:rPr>
          <w:rFonts w:hint="eastAsia" w:ascii="Times New Roman" w:hAnsi="Times New Roman" w:eastAsia="方正仿宋简体" w:cs="Times New Roman"/>
          <w:lang w:eastAsia="zh-CN"/>
        </w:rPr>
      </w:pPr>
    </w:p>
    <w:p w14:paraId="7A24AD02">
      <w:pPr>
        <w:pStyle w:val="9"/>
        <w:rPr>
          <w:rFonts w:hint="eastAsia" w:ascii="Times New Roman" w:hAnsi="Times New Roman" w:eastAsia="方正仿宋简体" w:cs="Times New Roman"/>
          <w:lang w:eastAsia="zh-CN"/>
        </w:rPr>
      </w:pPr>
    </w:p>
    <w:p w14:paraId="1C2B825B">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eastAsia" w:ascii="Times New Roman" w:hAnsi="Times New Roman" w:eastAsia="方正黑体简体" w:cs="方正黑体简体"/>
          <w:sz w:val="34"/>
          <w:szCs w:val="44"/>
          <w:highlight w:val="none"/>
          <w:u w:val="none" w:color="auto"/>
          <w:lang w:val="en-US" w:eastAsia="zh-CN"/>
        </w:rPr>
      </w:pPr>
      <w:bookmarkStart w:id="0" w:name="_GoBack"/>
      <w:r>
        <w:rPr>
          <w:rFonts w:hint="eastAsia" w:ascii="Times New Roman" w:hAnsi="Times New Roman" w:eastAsia="方正黑体简体" w:cs="方正黑体简体"/>
          <w:sz w:val="34"/>
          <w:szCs w:val="44"/>
          <w:highlight w:val="none"/>
          <w:u w:val="none" w:color="auto"/>
          <w:lang w:val="en-US" w:eastAsia="zh-CN"/>
        </w:rPr>
        <w:t>附件</w:t>
      </w:r>
      <w:r>
        <w:rPr>
          <w:rFonts w:hint="eastAsia" w:eastAsia="方正黑体简体" w:cs="方正黑体简体"/>
          <w:sz w:val="34"/>
          <w:szCs w:val="44"/>
          <w:highlight w:val="none"/>
          <w:u w:val="none" w:color="auto"/>
          <w:lang w:val="en-US" w:eastAsia="zh-CN"/>
        </w:rPr>
        <w:t>5</w:t>
      </w:r>
    </w:p>
    <w:bookmarkEnd w:id="0"/>
    <w:p w14:paraId="5BCE6085">
      <w:pPr>
        <w:keepLines w:val="0"/>
        <w:pageBreakBefore w:val="0"/>
        <w:widowControl w:val="0"/>
        <w:kinsoku/>
        <w:wordWrap/>
        <w:topLinePunct w:val="0"/>
        <w:bidi w:val="0"/>
        <w:spacing w:line="240" w:lineRule="auto"/>
        <w:jc w:val="center"/>
        <w:textAlignment w:val="auto"/>
        <w:rPr>
          <w:rFonts w:hint="eastAsia" w:ascii="Times New Roman" w:hAnsi="Times New Roman" w:eastAsia="方正小标宋简体" w:cs="Times New Roman"/>
          <w:sz w:val="44"/>
          <w:szCs w:val="44"/>
          <w:highlight w:val="none"/>
          <w:u w:val="none" w:color="auto"/>
          <w:lang w:val="en-US" w:eastAsia="zh-CN"/>
        </w:rPr>
      </w:pPr>
      <w:r>
        <w:rPr>
          <w:rFonts w:hint="eastAsia" w:ascii="Times New Roman" w:hAnsi="Times New Roman" w:eastAsia="方正小标宋简体" w:cs="Times New Roman"/>
          <w:sz w:val="44"/>
          <w:szCs w:val="44"/>
          <w:highlight w:val="none"/>
          <w:u w:val="none" w:color="auto"/>
          <w:lang w:val="en-US" w:eastAsia="zh-CN"/>
        </w:rPr>
        <w:t>十三届县委第八轮</w:t>
      </w:r>
      <w:r>
        <w:rPr>
          <w:rFonts w:hint="default" w:ascii="Times New Roman" w:hAnsi="Times New Roman" w:eastAsia="方正小标宋简体" w:cs="Times New Roman"/>
          <w:sz w:val="44"/>
          <w:szCs w:val="44"/>
          <w:highlight w:val="none"/>
          <w:u w:val="none" w:color="auto"/>
          <w:lang w:val="en-US" w:eastAsia="zh-CN"/>
        </w:rPr>
        <w:t>巡察</w:t>
      </w:r>
      <w:r>
        <w:rPr>
          <w:rFonts w:hint="eastAsia" w:eastAsia="方正小标宋简体" w:cs="Times New Roman"/>
          <w:sz w:val="44"/>
          <w:szCs w:val="44"/>
          <w:highlight w:val="none"/>
          <w:u w:val="none" w:color="auto"/>
          <w:lang w:val="en-US" w:eastAsia="zh-CN"/>
        </w:rPr>
        <w:t>帕赛村</w:t>
      </w:r>
      <w:r>
        <w:rPr>
          <w:rFonts w:hint="default" w:ascii="Times New Roman" w:hAnsi="Times New Roman" w:eastAsia="方正小标宋简体" w:cs="Times New Roman"/>
          <w:sz w:val="44"/>
          <w:szCs w:val="44"/>
          <w:highlight w:val="none"/>
          <w:u w:val="none" w:color="auto"/>
          <w:lang w:val="en-US" w:eastAsia="zh-CN"/>
        </w:rPr>
        <w:t>反馈问题整改台账</w:t>
      </w:r>
      <w:r>
        <w:rPr>
          <w:rFonts w:hint="eastAsia" w:ascii="Times New Roman" w:hAnsi="Times New Roman" w:eastAsia="方正小标宋简体" w:cs="Times New Roman"/>
          <w:sz w:val="44"/>
          <w:szCs w:val="44"/>
          <w:highlight w:val="none"/>
          <w:u w:val="none" w:color="auto"/>
          <w:lang w:val="en-US" w:eastAsia="zh-CN"/>
        </w:rPr>
        <w:t>社会公开台账</w:t>
      </w:r>
    </w:p>
    <w:p w14:paraId="60FB62E5">
      <w:pPr>
        <w:keepLines w:val="0"/>
        <w:pageBreakBefore w:val="0"/>
        <w:widowControl w:val="0"/>
        <w:kinsoku/>
        <w:wordWrap/>
        <w:topLinePunct w:val="0"/>
        <w:bidi w:val="0"/>
        <w:spacing w:line="240" w:lineRule="auto"/>
        <w:jc w:val="both"/>
        <w:textAlignment w:val="auto"/>
        <w:rPr>
          <w:rFonts w:hint="default" w:ascii="Times New Roman" w:hAnsi="Times New Roman" w:eastAsia="方正楷体简体" w:cs="Times New Roman"/>
          <w:b w:val="0"/>
          <w:bCs w:val="0"/>
          <w:sz w:val="24"/>
          <w:szCs w:val="24"/>
          <w:highlight w:val="none"/>
          <w:u w:val="none" w:color="auto"/>
          <w:lang w:eastAsia="zh-CN"/>
        </w:rPr>
      </w:pPr>
      <w:r>
        <w:rPr>
          <w:rFonts w:hint="eastAsia" w:ascii="方正楷体简体" w:hAnsi="方正楷体简体" w:eastAsia="方正楷体简体" w:cs="方正楷体简体"/>
          <w:b w:val="0"/>
          <w:bCs w:val="0"/>
          <w:sz w:val="24"/>
          <w:szCs w:val="24"/>
          <w:highlight w:val="none"/>
          <w:u w:val="none" w:color="auto"/>
        </w:rPr>
        <w:t>填报单位（加盖公章）：</w:t>
      </w:r>
      <w:r>
        <w:rPr>
          <w:rFonts w:hint="eastAsia" w:ascii="方正楷体简体" w:hAnsi="方正楷体简体" w:eastAsia="方正楷体简体" w:cs="方正楷体简体"/>
          <w:b w:val="0"/>
          <w:bCs w:val="0"/>
          <w:sz w:val="24"/>
          <w:szCs w:val="24"/>
          <w:highlight w:val="none"/>
          <w:u w:val="none" w:color="auto"/>
          <w:lang w:eastAsia="zh-CN"/>
        </w:rPr>
        <w:t xml:space="preserve">中共文东佤族乡委员会 </w:t>
      </w:r>
      <w:r>
        <w:rPr>
          <w:rFonts w:hint="eastAsia" w:ascii="方正楷体简体" w:hAnsi="方正楷体简体" w:eastAsia="方正楷体简体" w:cs="方正楷体简体"/>
          <w:b w:val="0"/>
          <w:bCs w:val="0"/>
          <w:sz w:val="24"/>
          <w:szCs w:val="24"/>
          <w:highlight w:val="none"/>
          <w:u w:val="none" w:color="auto"/>
          <w:lang w:val="en-US" w:eastAsia="zh-CN"/>
        </w:rPr>
        <w:t xml:space="preserve">                                                  </w:t>
      </w:r>
      <w:r>
        <w:rPr>
          <w:rFonts w:hint="default" w:ascii="Times New Roman" w:hAnsi="Times New Roman" w:eastAsia="方正楷体简体" w:cs="Times New Roman"/>
          <w:b w:val="0"/>
          <w:bCs w:val="0"/>
          <w:sz w:val="24"/>
          <w:szCs w:val="24"/>
          <w:highlight w:val="none"/>
          <w:u w:val="none" w:color="auto"/>
          <w:lang w:val="en-US" w:eastAsia="zh-CN"/>
        </w:rPr>
        <w:t xml:space="preserve"> </w:t>
      </w:r>
      <w:r>
        <w:rPr>
          <w:rFonts w:hint="default" w:ascii="Times New Roman" w:hAnsi="Times New Roman" w:eastAsia="方正楷体简体" w:cs="Times New Roman"/>
          <w:b w:val="0"/>
          <w:bCs w:val="0"/>
          <w:sz w:val="24"/>
          <w:szCs w:val="24"/>
          <w:highlight w:val="none"/>
          <w:u w:val="none" w:color="auto"/>
        </w:rPr>
        <w:t>填报日期</w:t>
      </w:r>
      <w:r>
        <w:rPr>
          <w:rFonts w:hint="default" w:ascii="Times New Roman" w:hAnsi="Times New Roman" w:eastAsia="方正楷体简体" w:cs="Times New Roman"/>
          <w:b w:val="0"/>
          <w:bCs w:val="0"/>
          <w:sz w:val="24"/>
          <w:szCs w:val="24"/>
          <w:highlight w:val="none"/>
          <w:u w:val="none" w:color="auto"/>
          <w:lang w:val="en-US" w:eastAsia="zh-CN"/>
        </w:rPr>
        <w:t>2026</w:t>
      </w:r>
      <w:r>
        <w:rPr>
          <w:rFonts w:hint="default" w:ascii="Times New Roman" w:hAnsi="Times New Roman" w:eastAsia="方正楷体简体" w:cs="Times New Roman"/>
          <w:b w:val="0"/>
          <w:bCs w:val="0"/>
          <w:sz w:val="24"/>
          <w:szCs w:val="24"/>
          <w:highlight w:val="none"/>
          <w:u w:val="none" w:color="auto"/>
        </w:rPr>
        <w:t>年</w:t>
      </w:r>
      <w:r>
        <w:rPr>
          <w:rFonts w:hint="eastAsia" w:eastAsia="方正楷体简体" w:cs="Times New Roman"/>
          <w:b w:val="0"/>
          <w:bCs w:val="0"/>
          <w:sz w:val="24"/>
          <w:szCs w:val="24"/>
          <w:highlight w:val="none"/>
          <w:u w:val="none" w:color="auto"/>
          <w:lang w:val="en-US" w:eastAsia="zh-CN"/>
        </w:rPr>
        <w:t>8</w:t>
      </w:r>
      <w:r>
        <w:rPr>
          <w:rFonts w:hint="default" w:ascii="Times New Roman" w:hAnsi="Times New Roman" w:eastAsia="方正楷体简体" w:cs="Times New Roman"/>
          <w:b w:val="0"/>
          <w:bCs w:val="0"/>
          <w:sz w:val="24"/>
          <w:szCs w:val="24"/>
          <w:highlight w:val="none"/>
          <w:u w:val="none" w:color="auto"/>
        </w:rPr>
        <w:t>月</w:t>
      </w:r>
      <w:r>
        <w:rPr>
          <w:rFonts w:hint="eastAsia" w:eastAsia="方正楷体简体" w:cs="Times New Roman"/>
          <w:b w:val="0"/>
          <w:bCs w:val="0"/>
          <w:sz w:val="24"/>
          <w:szCs w:val="24"/>
          <w:highlight w:val="none"/>
          <w:u w:val="none" w:color="auto"/>
          <w:lang w:val="en-US" w:eastAsia="zh-CN"/>
        </w:rPr>
        <w:t>28</w:t>
      </w:r>
      <w:r>
        <w:rPr>
          <w:rFonts w:hint="default" w:ascii="Times New Roman" w:hAnsi="Times New Roman" w:eastAsia="方正楷体简体" w:cs="Times New Roman"/>
          <w:b w:val="0"/>
          <w:bCs w:val="0"/>
          <w:sz w:val="24"/>
          <w:szCs w:val="24"/>
          <w:highlight w:val="none"/>
          <w:u w:val="none" w:color="auto"/>
          <w:lang w:val="en-US" w:eastAsia="zh-CN"/>
        </w:rPr>
        <w:t>日</w:t>
      </w:r>
    </w:p>
    <w:tbl>
      <w:tblPr>
        <w:tblStyle w:val="7"/>
        <w:tblW w:w="15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3218"/>
        <w:gridCol w:w="2790"/>
        <w:gridCol w:w="6015"/>
        <w:gridCol w:w="1575"/>
      </w:tblGrid>
      <w:tr w14:paraId="232E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blHeader/>
          <w:jc w:val="center"/>
        </w:trPr>
        <w:tc>
          <w:tcPr>
            <w:tcW w:w="1659" w:type="dxa"/>
            <w:noWrap w:val="0"/>
            <w:vAlign w:val="center"/>
          </w:tcPr>
          <w:p w14:paraId="5E4A93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序号</w:t>
            </w:r>
          </w:p>
        </w:tc>
        <w:tc>
          <w:tcPr>
            <w:tcW w:w="3218" w:type="dxa"/>
            <w:noWrap w:val="0"/>
            <w:vAlign w:val="center"/>
          </w:tcPr>
          <w:p w14:paraId="5BFC20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问题分类（二级标题）</w:t>
            </w:r>
          </w:p>
        </w:tc>
        <w:tc>
          <w:tcPr>
            <w:tcW w:w="2790" w:type="dxa"/>
            <w:noWrap w:val="0"/>
            <w:vAlign w:val="center"/>
          </w:tcPr>
          <w:p w14:paraId="0B489D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lang w:eastAsia="zh-CN"/>
              </w:rPr>
            </w:pPr>
            <w:r>
              <w:rPr>
                <w:rFonts w:hint="eastAsia" w:eastAsia="方正黑体简体" w:cs="方正黑体简体"/>
                <w:b w:val="0"/>
                <w:bCs w:val="0"/>
                <w:color w:val="auto"/>
                <w:spacing w:val="6"/>
                <w:sz w:val="24"/>
                <w:szCs w:val="24"/>
                <w:highlight w:val="none"/>
                <w:u w:val="none" w:color="auto"/>
                <w:vertAlign w:val="baseline"/>
                <w:lang w:eastAsia="zh-CN"/>
              </w:rPr>
              <w:t>主要措施</w:t>
            </w:r>
          </w:p>
        </w:tc>
        <w:tc>
          <w:tcPr>
            <w:tcW w:w="6015" w:type="dxa"/>
            <w:noWrap w:val="0"/>
            <w:vAlign w:val="center"/>
          </w:tcPr>
          <w:p w14:paraId="2CB9E1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sz w:val="24"/>
                <w:szCs w:val="24"/>
                <w:highlight w:val="none"/>
                <w:u w:val="none" w:color="auto"/>
                <w:vertAlign w:val="baseline"/>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整改工作及成效</w:t>
            </w:r>
          </w:p>
        </w:tc>
        <w:tc>
          <w:tcPr>
            <w:tcW w:w="1575" w:type="dxa"/>
            <w:noWrap w:val="0"/>
            <w:vAlign w:val="center"/>
          </w:tcPr>
          <w:p w14:paraId="74319F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黑体简体" w:cs="方正黑体简体"/>
                <w:b w:val="0"/>
                <w:bCs w:val="0"/>
                <w:color w:val="auto"/>
                <w:spacing w:val="6"/>
                <w:kern w:val="2"/>
                <w:sz w:val="24"/>
                <w:szCs w:val="24"/>
                <w:highlight w:val="none"/>
                <w:u w:val="none" w:color="auto"/>
                <w:vertAlign w:val="baseline"/>
                <w:lang w:val="en-US" w:eastAsia="zh-CN" w:bidi="ar-SA"/>
              </w:rPr>
            </w:pPr>
            <w:r>
              <w:rPr>
                <w:rFonts w:hint="eastAsia" w:ascii="Times New Roman" w:hAnsi="Times New Roman" w:eastAsia="方正黑体简体" w:cs="方正黑体简体"/>
                <w:b w:val="0"/>
                <w:bCs w:val="0"/>
                <w:color w:val="auto"/>
                <w:spacing w:val="6"/>
                <w:sz w:val="24"/>
                <w:szCs w:val="24"/>
                <w:highlight w:val="none"/>
                <w:u w:val="none" w:color="auto"/>
                <w:vertAlign w:val="baseline"/>
              </w:rPr>
              <w:t>备注</w:t>
            </w:r>
          </w:p>
        </w:tc>
      </w:tr>
      <w:tr w14:paraId="1203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jc w:val="center"/>
        </w:trPr>
        <w:tc>
          <w:tcPr>
            <w:tcW w:w="1659" w:type="dxa"/>
            <w:noWrap w:val="0"/>
            <w:vAlign w:val="center"/>
          </w:tcPr>
          <w:p w14:paraId="602665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p>
        </w:tc>
        <w:tc>
          <w:tcPr>
            <w:tcW w:w="3218" w:type="dxa"/>
            <w:noWrap w:val="0"/>
            <w:vAlign w:val="center"/>
          </w:tcPr>
          <w:p w14:paraId="666BCAB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方正仿宋简体"/>
                <w:b/>
                <w:bCs/>
                <w:color w:val="auto"/>
                <w:spacing w:val="6"/>
                <w:sz w:val="21"/>
                <w:szCs w:val="21"/>
                <w:highlight w:val="none"/>
                <w:u w:val="none" w:color="auto"/>
                <w:vertAlign w:val="baseline"/>
                <w:lang w:val="en-US" w:eastAsia="zh-CN"/>
              </w:rPr>
            </w:pPr>
            <w:r>
              <w:rPr>
                <w:rFonts w:hint="eastAsia" w:eastAsia="方正仿宋简体" w:cs="方正仿宋简体"/>
                <w:b/>
                <w:bCs/>
                <w:color w:val="auto"/>
                <w:spacing w:val="6"/>
                <w:sz w:val="21"/>
                <w:szCs w:val="21"/>
                <w:highlight w:val="none"/>
                <w:u w:val="none" w:color="auto"/>
                <w:vertAlign w:val="baseline"/>
                <w:lang w:eastAsia="zh-CN"/>
              </w:rPr>
              <w:t>一、</w:t>
            </w:r>
            <w:r>
              <w:rPr>
                <w:rFonts w:hint="eastAsia" w:eastAsia="方正仿宋简体" w:cs="方正仿宋简体"/>
                <w:b w:val="0"/>
                <w:bCs w:val="0"/>
                <w:color w:val="auto"/>
                <w:spacing w:val="6"/>
                <w:sz w:val="21"/>
                <w:szCs w:val="21"/>
                <w:highlight w:val="none"/>
                <w:u w:val="none" w:color="auto"/>
                <w:vertAlign w:val="baseline"/>
                <w:lang w:eastAsia="zh-CN"/>
              </w:rPr>
              <w:t>关于</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检查巡视巡察、审计等监督发现问题整改方面</w:t>
            </w:r>
            <w:r>
              <w:rPr>
                <w:rFonts w:hint="eastAsia" w:eastAsia="方正仿宋简体" w:cs="Times New Roman"/>
                <w:b w:val="0"/>
                <w:bCs/>
                <w:color w:val="auto"/>
                <w:spacing w:val="0"/>
                <w:kern w:val="2"/>
                <w:sz w:val="21"/>
                <w:szCs w:val="21"/>
                <w:highlight w:val="none"/>
                <w:u w:val="none" w:color="auto"/>
                <w:lang w:val="en-US" w:eastAsia="zh-CN" w:bidi="ar-SA"/>
              </w:rPr>
              <w:t>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90" w:type="dxa"/>
            <w:noWrap w:val="0"/>
            <w:vAlign w:val="center"/>
          </w:tcPr>
          <w:p w14:paraId="167EFF4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严格推进</w:t>
            </w:r>
            <w:r>
              <w:rPr>
                <w:rFonts w:hint="eastAsia" w:ascii="Times New Roman" w:hAnsi="Times New Roman" w:eastAsia="方正仿宋简体" w:cs="方正仿宋简体"/>
                <w:b w:val="0"/>
                <w:bCs w:val="0"/>
                <w:color w:val="auto"/>
                <w:spacing w:val="6"/>
                <w:sz w:val="21"/>
                <w:szCs w:val="21"/>
                <w:highlight w:val="none"/>
                <w:u w:val="none" w:color="auto"/>
                <w:vertAlign w:val="baseline"/>
                <w:lang w:eastAsia="zh-CN"/>
              </w:rPr>
              <w:t>巡视巡察、审计等监督发现问题整改</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015" w:type="dxa"/>
            <w:noWrap w:val="0"/>
            <w:vAlign w:val="center"/>
          </w:tcPr>
          <w:p w14:paraId="2BE5DE8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村“两委”成员、驻村工作队员对照《云南省重点清理流毒书籍清单》对农家书屋再次进行全覆盖排查，对涉及“余毒”的相关书籍即刻下架，并做好详细登记，逐一登记造册；二是对清查出来的“余毒”书籍，统一封存保管，杜绝再次流通；三是建立健全农家书屋长效监管机制。明确1名农家书屋的管理责任人，定期对书屋进行自查自纠，加强对农家书屋的日常监督检查，每季度至少进行一次全面检查。</w:t>
            </w:r>
          </w:p>
        </w:tc>
        <w:tc>
          <w:tcPr>
            <w:tcW w:w="1575" w:type="dxa"/>
            <w:noWrap w:val="0"/>
            <w:vAlign w:val="center"/>
          </w:tcPr>
          <w:p w14:paraId="2BF5C2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4AE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1659" w:type="dxa"/>
            <w:noWrap w:val="0"/>
            <w:vAlign w:val="center"/>
          </w:tcPr>
          <w:p w14:paraId="54B2FDEC">
            <w:pPr>
              <w:keepNext w:val="0"/>
              <w:keepLines w:val="0"/>
              <w:pageBreakBefore w:val="0"/>
              <w:widowControl w:val="0"/>
              <w:kinsoku/>
              <w:wordWrap/>
              <w:overflowPunct/>
              <w:topLinePunct w:val="0"/>
              <w:autoSpaceDE/>
              <w:autoSpaceDN/>
              <w:bidi w:val="0"/>
              <w:adjustRightInd/>
              <w:snapToGrid/>
              <w:spacing w:line="320" w:lineRule="exact"/>
              <w:ind w:firstLine="666" w:firstLineChars="300"/>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w:t>
            </w:r>
          </w:p>
        </w:tc>
        <w:tc>
          <w:tcPr>
            <w:tcW w:w="3218" w:type="dxa"/>
            <w:noWrap w:val="0"/>
            <w:vAlign w:val="center"/>
          </w:tcPr>
          <w:p w14:paraId="05298A4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lang w:eastAsia="zh-CN"/>
              </w:rPr>
            </w:pPr>
            <w:r>
              <w:rPr>
                <w:rFonts w:hint="eastAsia" w:eastAsia="方正仿宋简体" w:cs="Times New Roman"/>
                <w:b w:val="0"/>
                <w:bCs/>
                <w:color w:val="auto"/>
                <w:spacing w:val="0"/>
                <w:kern w:val="2"/>
                <w:sz w:val="21"/>
                <w:szCs w:val="21"/>
                <w:highlight w:val="none"/>
                <w:u w:val="none" w:color="auto"/>
                <w:lang w:val="en-US" w:eastAsia="zh-CN" w:bidi="ar-SA"/>
              </w:rPr>
              <w:t>二、关于</w:t>
            </w:r>
            <w:r>
              <w:rPr>
                <w:rFonts w:hint="eastAsia" w:ascii="Times New Roman" w:hAnsi="Times New Roman" w:eastAsia="方正仿宋简体" w:cs="Times New Roman"/>
                <w:b w:val="0"/>
                <w:bCs/>
                <w:color w:val="auto"/>
                <w:spacing w:val="0"/>
                <w:kern w:val="2"/>
                <w:sz w:val="21"/>
                <w:szCs w:val="21"/>
                <w:highlight w:val="none"/>
                <w:u w:val="none" w:color="auto"/>
                <w:lang w:val="en-US" w:eastAsia="zh-CN" w:bidi="ar-SA"/>
              </w:rPr>
              <w:t>检查学习贯彻习近平新时代中国特色社会主义思想和党的二十大和二十届二中、三中全会精神，加强政治建设方面</w:t>
            </w:r>
            <w:r>
              <w:rPr>
                <w:rFonts w:hint="eastAsia" w:eastAsia="方正仿宋简体" w:cs="Times New Roman"/>
                <w:b w:val="0"/>
                <w:bCs/>
                <w:color w:val="auto"/>
                <w:spacing w:val="0"/>
                <w:kern w:val="2"/>
                <w:sz w:val="21"/>
                <w:szCs w:val="21"/>
                <w:highlight w:val="none"/>
                <w:u w:val="none" w:color="auto"/>
                <w:lang w:val="en-US" w:eastAsia="zh-CN" w:bidi="ar-SA"/>
              </w:rPr>
              <w:t>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90" w:type="dxa"/>
            <w:noWrap w:val="0"/>
            <w:vAlign w:val="center"/>
          </w:tcPr>
          <w:p w14:paraId="17F7691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强化理论武装，学习</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贯彻</w:t>
            </w:r>
            <w:r>
              <w:rPr>
                <w:rFonts w:hint="eastAsia" w:eastAsia="方正仿宋简体" w:cs="（使用中文字体）"/>
                <w:b w:val="0"/>
                <w:bCs w:val="0"/>
                <w:color w:val="auto"/>
                <w:spacing w:val="6"/>
                <w:sz w:val="21"/>
                <w:szCs w:val="21"/>
                <w:highlight w:val="none"/>
                <w:u w:val="none" w:color="auto"/>
                <w:vertAlign w:val="baseline"/>
                <w:lang w:val="en-US" w:eastAsia="zh-CN"/>
              </w:rPr>
              <w:t>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习近平新时代中国特色社会主义思想和党的二十大精神</w:t>
            </w:r>
            <w:r>
              <w:rPr>
                <w:rFonts w:hint="eastAsia" w:eastAsia="方正仿宋简体" w:cs="（使用中文字体）"/>
                <w:b w:val="0"/>
                <w:bCs w:val="0"/>
                <w:color w:val="auto"/>
                <w:spacing w:val="6"/>
                <w:sz w:val="21"/>
                <w:szCs w:val="21"/>
                <w:highlight w:val="none"/>
                <w:u w:val="none" w:color="auto"/>
                <w:vertAlign w:val="baseline"/>
                <w:lang w:val="en-US" w:eastAsia="zh-CN"/>
              </w:rPr>
              <w:t>。</w:t>
            </w:r>
          </w:p>
        </w:tc>
        <w:tc>
          <w:tcPr>
            <w:tcW w:w="6015" w:type="dxa"/>
            <w:noWrap w:val="0"/>
            <w:vAlign w:val="center"/>
          </w:tcPr>
          <w:p w14:paraId="568DA0E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组织本村各级党组织深入学习“第一议题”制度相关规定，明确“第一议题”制度的重要性和具体要求，提高制度执行力；二是邀请乡级对党总支、支部书记进行培训，并制定会议议程模板下发学习；三是制定学习计划、定期持续跟进，确保“第一议题”制度持续落实。四是确定专人负责会议记录，对“第一议题”的学习内容、学习形式、讨论情况等进行详细记录，确保记录真实、准确、完整。</w:t>
            </w:r>
          </w:p>
        </w:tc>
        <w:tc>
          <w:tcPr>
            <w:tcW w:w="1575" w:type="dxa"/>
            <w:noWrap w:val="0"/>
            <w:vAlign w:val="center"/>
          </w:tcPr>
          <w:p w14:paraId="11B79B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08E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659" w:type="dxa"/>
            <w:vMerge w:val="restart"/>
            <w:noWrap w:val="0"/>
            <w:vAlign w:val="center"/>
          </w:tcPr>
          <w:p w14:paraId="04E812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3</w:t>
            </w:r>
          </w:p>
        </w:tc>
        <w:tc>
          <w:tcPr>
            <w:tcW w:w="3218" w:type="dxa"/>
            <w:vMerge w:val="restart"/>
            <w:noWrap w:val="0"/>
            <w:vAlign w:val="center"/>
          </w:tcPr>
          <w:p w14:paraId="518F81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方正仿宋简体"/>
                <w:b/>
                <w:bCs/>
                <w:color w:val="auto"/>
                <w:spacing w:val="6"/>
                <w:sz w:val="21"/>
                <w:szCs w:val="21"/>
                <w:highlight w:val="none"/>
                <w:u w:val="none" w:color="auto"/>
                <w:vertAlign w:val="baseline"/>
                <w:lang w:eastAsia="zh-CN"/>
              </w:rPr>
            </w:pPr>
            <w:r>
              <w:rPr>
                <w:rFonts w:hint="eastAsia" w:eastAsia="方正仿宋简体" w:cs="Times New Roman"/>
                <w:b w:val="0"/>
                <w:bCs/>
                <w:color w:val="auto"/>
                <w:spacing w:val="0"/>
                <w:kern w:val="2"/>
                <w:sz w:val="21"/>
                <w:szCs w:val="21"/>
                <w:highlight w:val="none"/>
                <w:u w:val="none" w:color="auto"/>
                <w:lang w:val="en-US" w:eastAsia="zh-CN" w:bidi="ar-SA"/>
              </w:rPr>
              <w:t>三、关于</w:t>
            </w:r>
            <w:r>
              <w:rPr>
                <w:rFonts w:hint="eastAsia" w:ascii="Times New Roman" w:hAnsi="Times New Roman" w:eastAsia="方正仿宋简体" w:cs="Times New Roman"/>
                <w:b w:val="0"/>
                <w:bCs/>
                <w:color w:val="auto"/>
                <w:spacing w:val="0"/>
                <w:kern w:val="2"/>
                <w:sz w:val="21"/>
                <w:szCs w:val="21"/>
                <w:highlight w:val="none"/>
                <w:u w:val="none" w:color="auto"/>
                <w:lang w:val="en-US" w:eastAsia="zh-CN" w:bidi="ar-SA"/>
              </w:rPr>
              <w:t>检查加强的全面领导，全面深化改革方面</w:t>
            </w:r>
            <w:r>
              <w:rPr>
                <w:rFonts w:hint="eastAsia" w:eastAsia="方正仿宋简体" w:cs="Times New Roman"/>
                <w:b w:val="0"/>
                <w:bCs/>
                <w:color w:val="auto"/>
                <w:spacing w:val="0"/>
                <w:kern w:val="2"/>
                <w:sz w:val="21"/>
                <w:szCs w:val="21"/>
                <w:highlight w:val="none"/>
                <w:u w:val="none" w:color="auto"/>
                <w:lang w:val="en-US" w:eastAsia="zh-CN" w:bidi="ar-SA"/>
              </w:rPr>
              <w:t>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90" w:type="dxa"/>
            <w:vMerge w:val="restart"/>
            <w:noWrap w:val="0"/>
            <w:vAlign w:val="center"/>
          </w:tcPr>
          <w:p w14:paraId="3D90A33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高度重视</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意识形态工作</w:t>
            </w:r>
            <w:r>
              <w:rPr>
                <w:rFonts w:hint="eastAsia" w:eastAsia="方正仿宋简体" w:cs="（使用中文字体）"/>
                <w:b w:val="0"/>
                <w:bCs w:val="0"/>
                <w:color w:val="auto"/>
                <w:spacing w:val="6"/>
                <w:sz w:val="21"/>
                <w:szCs w:val="21"/>
                <w:highlight w:val="none"/>
                <w:u w:val="none" w:color="auto"/>
                <w:vertAlign w:val="baseline"/>
                <w:lang w:val="en-US" w:eastAsia="zh-CN"/>
              </w:rPr>
              <w:t>方面整改</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015" w:type="dxa"/>
            <w:noWrap w:val="0"/>
            <w:vAlign w:val="center"/>
          </w:tcPr>
          <w:p w14:paraId="3698ACA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安排专人负责收集、整理党的二十大精神及乡村振兴政策要点，结合帕赛村实际情况，在宣传栏显著位置迅速布置相关宣传内容。每季度组织开展宣传栏专项检查，重点排查更新滞后、内容陈旧等问题，及时更新村委会组织机构信息。</w:t>
            </w:r>
          </w:p>
        </w:tc>
        <w:tc>
          <w:tcPr>
            <w:tcW w:w="1575" w:type="dxa"/>
            <w:noWrap w:val="0"/>
            <w:vAlign w:val="center"/>
          </w:tcPr>
          <w:p w14:paraId="3DFD7E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50AA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1659" w:type="dxa"/>
            <w:vMerge w:val="continue"/>
            <w:noWrap w:val="0"/>
            <w:vAlign w:val="center"/>
          </w:tcPr>
          <w:p w14:paraId="18E2A3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01BDD0C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方正仿宋简体"/>
                <w:b/>
                <w:bCs/>
                <w:color w:val="auto"/>
                <w:spacing w:val="6"/>
                <w:sz w:val="21"/>
                <w:szCs w:val="21"/>
                <w:highlight w:val="none"/>
                <w:u w:val="none" w:color="auto"/>
                <w:vertAlign w:val="baseline"/>
              </w:rPr>
            </w:pPr>
          </w:p>
        </w:tc>
        <w:tc>
          <w:tcPr>
            <w:tcW w:w="2790" w:type="dxa"/>
            <w:vMerge w:val="continue"/>
            <w:noWrap w:val="0"/>
            <w:vAlign w:val="center"/>
          </w:tcPr>
          <w:p w14:paraId="4080DB6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c>
          <w:tcPr>
            <w:tcW w:w="6015" w:type="dxa"/>
            <w:noWrap w:val="0"/>
            <w:vAlign w:val="center"/>
          </w:tcPr>
          <w:p w14:paraId="00387F0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指定责任人组织驻村工作队与村“两委”班子成员及小组干部，对全村范围实施拉网式细致排查，确保一周内彻底清理脱贫攻坚标语，举一反三清理其他垃圾小广告；建立长效巡查维护机制。定期巡查村组内墙面，组织检查，防止已清理的标语再次出现或新增过时宣传内容，并长期坚持。</w:t>
            </w:r>
          </w:p>
        </w:tc>
        <w:tc>
          <w:tcPr>
            <w:tcW w:w="1575" w:type="dxa"/>
            <w:noWrap w:val="0"/>
            <w:vAlign w:val="center"/>
          </w:tcPr>
          <w:p w14:paraId="734941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575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jc w:val="center"/>
        </w:trPr>
        <w:tc>
          <w:tcPr>
            <w:tcW w:w="1659" w:type="dxa"/>
            <w:vMerge w:val="continue"/>
            <w:noWrap w:val="0"/>
            <w:vAlign w:val="center"/>
          </w:tcPr>
          <w:p w14:paraId="44A810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7747F3D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continue"/>
            <w:noWrap w:val="0"/>
            <w:vAlign w:val="center"/>
          </w:tcPr>
          <w:p w14:paraId="53715B0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015" w:type="dxa"/>
            <w:noWrap w:val="0"/>
            <w:vAlign w:val="center"/>
          </w:tcPr>
          <w:p w14:paraId="1054670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对村级应急广播终端机房进行全面清理整治，明确专人负责定期对机房设备、环境进行巡查，规范物品摆放，进行清扫和保洁。帕赛村已按照要求设立独立机房，明确专人管理。</w:t>
            </w:r>
          </w:p>
        </w:tc>
        <w:tc>
          <w:tcPr>
            <w:tcW w:w="1575" w:type="dxa"/>
            <w:noWrap w:val="0"/>
            <w:vAlign w:val="center"/>
          </w:tcPr>
          <w:p w14:paraId="338818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0959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1659" w:type="dxa"/>
            <w:vMerge w:val="restart"/>
            <w:noWrap w:val="0"/>
            <w:vAlign w:val="center"/>
          </w:tcPr>
          <w:p w14:paraId="0E7E7F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4</w:t>
            </w:r>
          </w:p>
        </w:tc>
        <w:tc>
          <w:tcPr>
            <w:tcW w:w="3218" w:type="dxa"/>
            <w:vMerge w:val="restart"/>
            <w:noWrap w:val="0"/>
            <w:vAlign w:val="center"/>
          </w:tcPr>
          <w:p w14:paraId="111D65B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eastAsia="方正仿宋简体" w:cs="（使用中文字体）"/>
                <w:b w:val="0"/>
                <w:bCs w:val="0"/>
                <w:color w:val="auto"/>
                <w:spacing w:val="6"/>
                <w:sz w:val="21"/>
                <w:szCs w:val="21"/>
                <w:highlight w:val="none"/>
                <w:u w:val="none" w:color="auto"/>
                <w:vertAlign w:val="baseline"/>
                <w:lang w:eastAsia="zh-CN"/>
              </w:rPr>
              <w:t>四、关于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检查防范化解重大风险，维护社会大局和谐稳定方面</w:t>
            </w:r>
            <w:r>
              <w:rPr>
                <w:rFonts w:hint="eastAsia" w:eastAsia="方正仿宋简体" w:cs="Times New Roman"/>
                <w:b w:val="0"/>
                <w:bCs/>
                <w:color w:val="auto"/>
                <w:spacing w:val="0"/>
                <w:kern w:val="2"/>
                <w:sz w:val="21"/>
                <w:szCs w:val="21"/>
                <w:highlight w:val="none"/>
                <w:u w:val="none" w:color="auto"/>
                <w:lang w:val="en-US" w:eastAsia="zh-CN" w:bidi="ar-SA"/>
              </w:rPr>
              <w:t>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90" w:type="dxa"/>
            <w:vMerge w:val="restart"/>
            <w:noWrap w:val="0"/>
            <w:vAlign w:val="center"/>
          </w:tcPr>
          <w:p w14:paraId="50ECB52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不断压实工作责任</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eastAsia="方正仿宋简体" w:cs="（使用中文字体）"/>
                <w:b w:val="0"/>
                <w:bCs w:val="0"/>
                <w:color w:val="auto"/>
                <w:spacing w:val="6"/>
                <w:sz w:val="21"/>
                <w:szCs w:val="21"/>
                <w:highlight w:val="none"/>
                <w:u w:val="none" w:color="auto"/>
                <w:vertAlign w:val="baseline"/>
                <w:lang w:val="en-US" w:eastAsia="zh-CN"/>
              </w:rPr>
              <w:t>推进</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防返贫动态监测调整工作台账资料规范。</w:t>
            </w:r>
          </w:p>
        </w:tc>
        <w:tc>
          <w:tcPr>
            <w:tcW w:w="6015" w:type="dxa"/>
            <w:noWrap w:val="0"/>
            <w:vAlign w:val="center"/>
          </w:tcPr>
          <w:p w14:paraId="7380B06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针对</w:t>
            </w:r>
            <w:r>
              <w:rPr>
                <w:rFonts w:hint="eastAsia" w:eastAsia="方正仿宋简体" w:cs="（使用中文字体）"/>
                <w:b w:val="0"/>
                <w:bCs w:val="0"/>
                <w:color w:val="auto"/>
                <w:spacing w:val="6"/>
                <w:sz w:val="21"/>
                <w:szCs w:val="21"/>
                <w:highlight w:val="none"/>
                <w:u w:val="none" w:color="auto"/>
                <w:vertAlign w:val="baseline"/>
                <w:lang w:val="en-US" w:eastAsia="zh-CN"/>
              </w:rPr>
              <w:t>在会议中</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不规范</w:t>
            </w:r>
            <w:r>
              <w:rPr>
                <w:rFonts w:hint="eastAsia" w:eastAsia="方正仿宋简体" w:cs="（使用中文字体）"/>
                <w:b w:val="0"/>
                <w:bCs w:val="0"/>
                <w:color w:val="auto"/>
                <w:spacing w:val="6"/>
                <w:sz w:val="21"/>
                <w:szCs w:val="21"/>
                <w:highlight w:val="none"/>
                <w:u w:val="none" w:color="auto"/>
                <w:vertAlign w:val="baseline"/>
                <w:lang w:val="en-US" w:eastAsia="zh-CN"/>
              </w:rPr>
              <w:t>事项，完善会议登记流程，针对</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不规范</w:t>
            </w:r>
            <w:r>
              <w:rPr>
                <w:rFonts w:hint="eastAsia" w:eastAsia="方正仿宋简体" w:cs="（使用中文字体）"/>
                <w:b w:val="0"/>
                <w:bCs w:val="0"/>
                <w:color w:val="auto"/>
                <w:spacing w:val="6"/>
                <w:sz w:val="21"/>
                <w:szCs w:val="21"/>
                <w:highlight w:val="none"/>
                <w:u w:val="none" w:color="auto"/>
                <w:vertAlign w:val="baseline"/>
                <w:lang w:val="en-US" w:eastAsia="zh-CN"/>
              </w:rPr>
              <w:t>的</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问题，组织村</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两委</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班子成员认真反思、举一反三，补齐短板，及时纠错补齐，规范各项议程。</w:t>
            </w:r>
          </w:p>
        </w:tc>
        <w:tc>
          <w:tcPr>
            <w:tcW w:w="1575" w:type="dxa"/>
            <w:noWrap w:val="0"/>
            <w:vAlign w:val="center"/>
          </w:tcPr>
          <w:p w14:paraId="18F0A1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BFE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9" w:type="dxa"/>
            <w:vMerge w:val="continue"/>
            <w:noWrap w:val="0"/>
            <w:vAlign w:val="center"/>
          </w:tcPr>
          <w:p w14:paraId="4648A0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6EA3B16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continue"/>
            <w:noWrap w:val="0"/>
            <w:vAlign w:val="center"/>
          </w:tcPr>
          <w:p w14:paraId="5E12C14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lang w:val="en-US" w:eastAsia="zh-CN"/>
              </w:rPr>
            </w:pPr>
          </w:p>
        </w:tc>
        <w:tc>
          <w:tcPr>
            <w:tcW w:w="6015" w:type="dxa"/>
            <w:noWrap w:val="0"/>
            <w:vAlign w:val="center"/>
          </w:tcPr>
          <w:p w14:paraId="40389B3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严格规范公示期限，</w:t>
            </w:r>
            <w:r>
              <w:rPr>
                <w:rFonts w:hint="eastAsia" w:eastAsia="方正仿宋简体" w:cs="（使用中文字体）"/>
                <w:b w:val="0"/>
                <w:bCs w:val="0"/>
                <w:color w:val="auto"/>
                <w:spacing w:val="6"/>
                <w:sz w:val="21"/>
                <w:szCs w:val="21"/>
                <w:highlight w:val="none"/>
                <w:u w:val="none" w:color="auto"/>
                <w:vertAlign w:val="baseline"/>
                <w:lang w:val="en-US" w:eastAsia="zh-CN"/>
              </w:rPr>
              <w:t>及时补充完善未满公示期的工作事项。</w:t>
            </w:r>
          </w:p>
        </w:tc>
        <w:tc>
          <w:tcPr>
            <w:tcW w:w="1575" w:type="dxa"/>
            <w:noWrap w:val="0"/>
            <w:vAlign w:val="center"/>
          </w:tcPr>
          <w:p w14:paraId="5A41B7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387E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1659" w:type="dxa"/>
            <w:vMerge w:val="continue"/>
            <w:noWrap w:val="0"/>
            <w:vAlign w:val="center"/>
          </w:tcPr>
          <w:p w14:paraId="29D846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59D20FA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noWrap w:val="0"/>
            <w:vAlign w:val="center"/>
          </w:tcPr>
          <w:p w14:paraId="35DFC7D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w:t>
            </w:r>
            <w:r>
              <w:rPr>
                <w:rFonts w:hint="eastAsia" w:eastAsia="方正仿宋简体" w:cs="（使用中文字体）"/>
                <w:b w:val="0"/>
                <w:bCs w:val="0"/>
                <w:color w:val="auto"/>
                <w:spacing w:val="6"/>
                <w:sz w:val="21"/>
                <w:szCs w:val="21"/>
                <w:highlight w:val="none"/>
                <w:u w:val="none" w:color="auto"/>
                <w:vertAlign w:val="baseline"/>
                <w:lang w:val="en-US" w:eastAsia="zh-CN"/>
              </w:rPr>
              <w:t>完善</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村规民约内容，</w:t>
            </w:r>
            <w:r>
              <w:rPr>
                <w:rFonts w:hint="eastAsia" w:eastAsia="方正仿宋简体" w:cs="（使用中文字体）"/>
                <w:b w:val="0"/>
                <w:bCs w:val="0"/>
                <w:color w:val="auto"/>
                <w:spacing w:val="6"/>
                <w:sz w:val="21"/>
                <w:szCs w:val="21"/>
                <w:highlight w:val="none"/>
                <w:u w:val="none" w:color="auto"/>
                <w:vertAlign w:val="baseline"/>
                <w:lang w:val="en-US" w:eastAsia="zh-CN"/>
              </w:rPr>
              <w:t>特别是</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约束力与法律法规冲突</w:t>
            </w:r>
            <w:r>
              <w:rPr>
                <w:rFonts w:hint="eastAsia" w:eastAsia="方正仿宋简体" w:cs="（使用中文字体）"/>
                <w:b w:val="0"/>
                <w:bCs w:val="0"/>
                <w:color w:val="auto"/>
                <w:spacing w:val="6"/>
                <w:sz w:val="21"/>
                <w:szCs w:val="21"/>
                <w:highlight w:val="none"/>
                <w:u w:val="none" w:color="auto"/>
                <w:vertAlign w:val="baseline"/>
                <w:lang w:val="en-US" w:eastAsia="zh-CN"/>
              </w:rPr>
              <w:t>方面整改</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015" w:type="dxa"/>
            <w:noWrap w:val="0"/>
            <w:vAlign w:val="center"/>
          </w:tcPr>
          <w:p w14:paraId="5660B5D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成立由村两委成员、法律顾问以及村民代表组成的审查小组，对现行村规民约进行逐字逐句的审查，确保没有任何条款与法律法规、相关政策相抵触；二是在修订过程中，充分尊重村民的意愿和民主权利，通过村民大会、村民代表会议等形式，让村民参与到村规民约的修订中来，确保修订后的村规民约既符合法律法规要求，又体现本村特符合村民意愿；三是加强与乡党委政府部门和相关职能部门的沟通联系，及时反馈整改工作进展情况，争取政策支持和指导，确保整改工作顺利推进。同时，积极收集村民对整改后的村规民约的意见和建议，不断优化村规民约内容，提高村规民约的科学性和实用性。</w:t>
            </w:r>
          </w:p>
        </w:tc>
        <w:tc>
          <w:tcPr>
            <w:tcW w:w="1575" w:type="dxa"/>
            <w:noWrap w:val="0"/>
            <w:vAlign w:val="center"/>
          </w:tcPr>
          <w:p w14:paraId="58BA47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DE8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59" w:type="dxa"/>
            <w:vMerge w:val="continue"/>
            <w:noWrap w:val="0"/>
            <w:vAlign w:val="center"/>
          </w:tcPr>
          <w:p w14:paraId="08B211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5BA217D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rPr>
            </w:pPr>
          </w:p>
        </w:tc>
        <w:tc>
          <w:tcPr>
            <w:tcW w:w="2790" w:type="dxa"/>
            <w:vMerge w:val="restart"/>
            <w:noWrap w:val="0"/>
            <w:vAlign w:val="center"/>
          </w:tcPr>
          <w:p w14:paraId="3BE336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3.</w:t>
            </w:r>
            <w:r>
              <w:rPr>
                <w:rFonts w:hint="eastAsia" w:eastAsia="方正仿宋简体" w:cs="（使用中文字体）"/>
                <w:b w:val="0"/>
                <w:bCs w:val="0"/>
                <w:color w:val="auto"/>
                <w:spacing w:val="6"/>
                <w:sz w:val="21"/>
                <w:szCs w:val="21"/>
                <w:highlight w:val="none"/>
                <w:u w:val="none" w:color="auto"/>
                <w:vertAlign w:val="baseline"/>
                <w:lang w:val="en-US" w:eastAsia="zh-CN"/>
              </w:rPr>
              <w:t>推动</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人居环境治理，</w:t>
            </w:r>
            <w:r>
              <w:rPr>
                <w:rFonts w:hint="eastAsia" w:eastAsia="方正仿宋简体" w:cs="（使用中文字体）"/>
                <w:b w:val="0"/>
                <w:bCs w:val="0"/>
                <w:color w:val="auto"/>
                <w:spacing w:val="6"/>
                <w:sz w:val="21"/>
                <w:szCs w:val="21"/>
                <w:highlight w:val="none"/>
                <w:u w:val="none" w:color="auto"/>
                <w:vertAlign w:val="baseline"/>
                <w:lang w:val="en-US" w:eastAsia="zh-CN"/>
              </w:rPr>
              <w:t>提高</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政治的主动性和能动性。</w:t>
            </w:r>
          </w:p>
        </w:tc>
        <w:tc>
          <w:tcPr>
            <w:tcW w:w="6015" w:type="dxa"/>
            <w:noWrap w:val="0"/>
            <w:vAlign w:val="center"/>
          </w:tcPr>
          <w:p w14:paraId="0404FC8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成立专项整治小组，由村“两委”牵头，将各村民小组的环境卫生责任细化到具体村干部和村民小组长。认真组织开展环境卫生整治行动，组织党员干部和群众定期开展环境卫生大扫除，对“脏乱差”问题进行集中整治，建立环境卫生监督检查机制，对整治不力的村进行通报批评。 二是持续推进“三个一”行动，制定“三个一”行动详细实施方案，明确行动目标、任务和责任人，加强宣传引导，提高群众参与积极性，明确村民每日清扫自家环境、小组每周集中整治公共区域，通过“党员示范岗”或“积分制方式”等形式，村干部和小组长带头参与，带动村民主动参与，避免“一阵风”式整治，确保“三个一”行动持续有效开展。</w:t>
            </w:r>
          </w:p>
        </w:tc>
        <w:tc>
          <w:tcPr>
            <w:tcW w:w="1575" w:type="dxa"/>
            <w:noWrap w:val="0"/>
            <w:vAlign w:val="center"/>
          </w:tcPr>
          <w:p w14:paraId="5ED688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87F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1659" w:type="dxa"/>
            <w:vMerge w:val="continue"/>
            <w:noWrap w:val="0"/>
            <w:vAlign w:val="center"/>
          </w:tcPr>
          <w:p w14:paraId="18A546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61CBBF3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rPr>
            </w:pPr>
          </w:p>
        </w:tc>
        <w:tc>
          <w:tcPr>
            <w:tcW w:w="2790" w:type="dxa"/>
            <w:vMerge w:val="continue"/>
            <w:noWrap w:val="0"/>
            <w:vAlign w:val="center"/>
          </w:tcPr>
          <w:p w14:paraId="122D706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015" w:type="dxa"/>
            <w:noWrap w:val="0"/>
            <w:vAlign w:val="center"/>
          </w:tcPr>
          <w:p w14:paraId="6897714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加强公厕管护，建立公厕管护长效机制，明确管护责任人，确保管护责任落实到人。并结合村级公益性岗位、农村厕所管护员试点等措施，定期对公厕设备进行检查和维护，及时修复损坏设备，确保公厕正常使用。四是对损坏的设施（如冲水装置、灯具、门锁等）进行及时维修，确保正常使用，无法维修的及时更换。</w:t>
            </w:r>
          </w:p>
        </w:tc>
        <w:tc>
          <w:tcPr>
            <w:tcW w:w="1575" w:type="dxa"/>
            <w:noWrap w:val="0"/>
            <w:vAlign w:val="center"/>
          </w:tcPr>
          <w:p w14:paraId="130B61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825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59" w:type="dxa"/>
            <w:vMerge w:val="continue"/>
            <w:noWrap w:val="0"/>
            <w:vAlign w:val="center"/>
          </w:tcPr>
          <w:p w14:paraId="4D03C5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5D1BA6C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rPr>
            </w:pPr>
          </w:p>
        </w:tc>
        <w:tc>
          <w:tcPr>
            <w:tcW w:w="2790" w:type="dxa"/>
            <w:vMerge w:val="restart"/>
            <w:noWrap w:val="0"/>
            <w:vAlign w:val="center"/>
          </w:tcPr>
          <w:p w14:paraId="0071BC4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4.</w:t>
            </w:r>
            <w:r>
              <w:rPr>
                <w:rFonts w:hint="eastAsia" w:eastAsia="方正仿宋简体" w:cs="（使用中文字体）"/>
                <w:b w:val="0"/>
                <w:bCs w:val="0"/>
                <w:color w:val="auto"/>
                <w:spacing w:val="6"/>
                <w:sz w:val="21"/>
                <w:szCs w:val="21"/>
                <w:highlight w:val="none"/>
                <w:u w:val="none" w:color="auto"/>
                <w:vertAlign w:val="baseline"/>
                <w:lang w:val="en-US" w:eastAsia="zh-CN"/>
              </w:rPr>
              <w:t>强化</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公共活动场所管理，</w:t>
            </w:r>
            <w:r>
              <w:rPr>
                <w:rFonts w:hint="eastAsia" w:eastAsia="方正仿宋简体" w:cs="（使用中文字体）"/>
                <w:b w:val="0"/>
                <w:bCs w:val="0"/>
                <w:color w:val="auto"/>
                <w:spacing w:val="6"/>
                <w:sz w:val="21"/>
                <w:szCs w:val="21"/>
                <w:highlight w:val="none"/>
                <w:u w:val="none" w:color="auto"/>
                <w:vertAlign w:val="baseline"/>
                <w:lang w:val="en-US" w:eastAsia="zh-CN"/>
              </w:rPr>
              <w:t>提高</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服务群众意识</w:t>
            </w:r>
            <w:r>
              <w:rPr>
                <w:rFonts w:hint="eastAsia" w:eastAsia="方正仿宋简体" w:cs="（使用中文字体）"/>
                <w:b w:val="0"/>
                <w:bCs w:val="0"/>
                <w:color w:val="auto"/>
                <w:spacing w:val="6"/>
                <w:sz w:val="21"/>
                <w:szCs w:val="21"/>
                <w:highlight w:val="none"/>
                <w:u w:val="none" w:color="auto"/>
                <w:vertAlign w:val="baseline"/>
                <w:lang w:val="en-US" w:eastAsia="zh-CN"/>
              </w:rPr>
              <w:t>。</w:t>
            </w:r>
          </w:p>
        </w:tc>
        <w:tc>
          <w:tcPr>
            <w:tcW w:w="6015" w:type="dxa"/>
            <w:noWrap w:val="0"/>
            <w:vAlign w:val="center"/>
          </w:tcPr>
          <w:p w14:paraId="08D233E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积极筹措资金修复破损小组活动室</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修复后，督促公益性岗位人员及时打扫室内外环境卫生，整齐堆放室内物品。</w:t>
            </w:r>
          </w:p>
        </w:tc>
        <w:tc>
          <w:tcPr>
            <w:tcW w:w="1575" w:type="dxa"/>
            <w:noWrap w:val="0"/>
            <w:vAlign w:val="center"/>
          </w:tcPr>
          <w:p w14:paraId="4B6EA0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7BC7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659" w:type="dxa"/>
            <w:vMerge w:val="continue"/>
            <w:noWrap w:val="0"/>
            <w:vAlign w:val="center"/>
          </w:tcPr>
          <w:p w14:paraId="646EEF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1C949F9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rPr>
            </w:pPr>
          </w:p>
        </w:tc>
        <w:tc>
          <w:tcPr>
            <w:tcW w:w="2790" w:type="dxa"/>
            <w:vMerge w:val="continue"/>
            <w:noWrap w:val="0"/>
            <w:vAlign w:val="center"/>
          </w:tcPr>
          <w:p w14:paraId="0D166D9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015" w:type="dxa"/>
            <w:noWrap w:val="0"/>
            <w:vAlign w:val="center"/>
          </w:tcPr>
          <w:p w14:paraId="0EF438C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积极向上级党委政府申报项目资金</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解决公共活动场所堡坎高、坡度陡。无防护栏、警示标牌及夜照明设备，有坠落的风险，出行安全有隐患，通过沟通协调，上级党委政府反馈争取年内解决。</w:t>
            </w:r>
          </w:p>
        </w:tc>
        <w:tc>
          <w:tcPr>
            <w:tcW w:w="1575" w:type="dxa"/>
            <w:noWrap w:val="0"/>
            <w:vAlign w:val="center"/>
          </w:tcPr>
          <w:p w14:paraId="1AD231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F03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9" w:type="dxa"/>
            <w:noWrap w:val="0"/>
            <w:vAlign w:val="center"/>
          </w:tcPr>
          <w:p w14:paraId="69B961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5</w:t>
            </w:r>
          </w:p>
        </w:tc>
        <w:tc>
          <w:tcPr>
            <w:tcW w:w="3218" w:type="dxa"/>
            <w:noWrap w:val="0"/>
            <w:vAlign w:val="center"/>
          </w:tcPr>
          <w:p w14:paraId="317CF0F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eastAsia="方正仿宋简体" w:cs="（使用中文字体）"/>
                <w:b w:val="0"/>
                <w:bCs w:val="0"/>
                <w:color w:val="auto"/>
                <w:spacing w:val="6"/>
                <w:sz w:val="21"/>
                <w:szCs w:val="21"/>
                <w:highlight w:val="none"/>
                <w:u w:val="none" w:color="auto"/>
                <w:vertAlign w:val="baseline"/>
                <w:lang w:eastAsia="zh-CN"/>
              </w:rPr>
              <w:t>五、关于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检查落实全面从严治党责任、推进党风廉政建设和反腐败斗争方面</w:t>
            </w:r>
            <w:r>
              <w:rPr>
                <w:rFonts w:hint="eastAsia" w:eastAsia="方正仿宋简体" w:cs="Times New Roman"/>
                <w:b w:val="0"/>
                <w:bCs/>
                <w:color w:val="auto"/>
                <w:spacing w:val="0"/>
                <w:kern w:val="2"/>
                <w:sz w:val="21"/>
                <w:szCs w:val="21"/>
                <w:highlight w:val="none"/>
                <w:u w:val="none" w:color="auto"/>
                <w:lang w:val="en-US" w:eastAsia="zh-CN" w:bidi="ar-SA"/>
              </w:rPr>
              <w:t>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90" w:type="dxa"/>
            <w:noWrap w:val="0"/>
            <w:vAlign w:val="center"/>
          </w:tcPr>
          <w:p w14:paraId="159728E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不断推进</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日常廉政谈话，针对性</w:t>
            </w:r>
            <w:r>
              <w:rPr>
                <w:rFonts w:hint="eastAsia" w:eastAsia="方正仿宋简体" w:cs="（使用中文字体）"/>
                <w:b w:val="0"/>
                <w:bCs w:val="0"/>
                <w:color w:val="auto"/>
                <w:spacing w:val="6"/>
                <w:sz w:val="21"/>
                <w:szCs w:val="21"/>
                <w:highlight w:val="none"/>
                <w:u w:val="none" w:color="auto"/>
                <w:vertAlign w:val="baseline"/>
                <w:lang w:val="en-US" w:eastAsia="zh-CN"/>
              </w:rPr>
              <w:t>问题整改</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015" w:type="dxa"/>
            <w:noWrap w:val="0"/>
            <w:vAlign w:val="center"/>
          </w:tcPr>
          <w:p w14:paraId="089F80C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一是班子成员通过召开组织生活会，认真开展批评与自我批评，剖析问题存在的原因，举一反三，抓好整改工作，杜绝今后工作中出现</w:t>
            </w:r>
            <w:r>
              <w:rPr>
                <w:rFonts w:hint="eastAsia" w:eastAsia="方正仿宋简体" w:cs="（使用中文字体）"/>
                <w:b w:val="0"/>
                <w:bCs w:val="0"/>
                <w:color w:val="auto"/>
                <w:spacing w:val="6"/>
                <w:sz w:val="21"/>
                <w:szCs w:val="21"/>
                <w:highlight w:val="none"/>
                <w:u w:val="none" w:color="auto"/>
                <w:vertAlign w:val="baseline"/>
                <w:lang w:val="en-US" w:eastAsia="zh-CN"/>
              </w:rPr>
              <w:t>雷同</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事件发生；二是加强教育培训，围绕</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如何开展高质量谈话</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组织培训，重点提升问题分析、个性化、针对性沟通能力，避免空话套话</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1575" w:type="dxa"/>
            <w:noWrap w:val="0"/>
            <w:vAlign w:val="center"/>
          </w:tcPr>
          <w:p w14:paraId="7201FF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214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5" w:hRule="atLeast"/>
          <w:jc w:val="center"/>
        </w:trPr>
        <w:tc>
          <w:tcPr>
            <w:tcW w:w="1659" w:type="dxa"/>
            <w:vMerge w:val="restart"/>
            <w:noWrap w:val="0"/>
            <w:vAlign w:val="center"/>
          </w:tcPr>
          <w:p w14:paraId="611FE5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6</w:t>
            </w:r>
          </w:p>
        </w:tc>
        <w:tc>
          <w:tcPr>
            <w:tcW w:w="3218" w:type="dxa"/>
            <w:vMerge w:val="restart"/>
            <w:noWrap w:val="0"/>
            <w:vAlign w:val="center"/>
          </w:tcPr>
          <w:p w14:paraId="1D9AAE4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eastAsia="方正仿宋简体" w:cs="（使用中文字体）"/>
                <w:b w:val="0"/>
                <w:bCs w:val="0"/>
                <w:color w:val="auto"/>
                <w:spacing w:val="6"/>
                <w:sz w:val="21"/>
                <w:szCs w:val="21"/>
                <w:highlight w:val="none"/>
                <w:u w:val="none" w:color="auto"/>
                <w:vertAlign w:val="baseline"/>
                <w:lang w:eastAsia="zh-CN"/>
              </w:rPr>
              <w:t>六、关于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检查加强廉洁风险防控，落实中央八项规定精神方面</w:t>
            </w:r>
            <w:r>
              <w:rPr>
                <w:rFonts w:hint="eastAsia" w:eastAsia="方正仿宋简体" w:cs="Times New Roman"/>
                <w:b w:val="0"/>
                <w:bCs/>
                <w:color w:val="auto"/>
                <w:spacing w:val="0"/>
                <w:kern w:val="2"/>
                <w:sz w:val="21"/>
                <w:szCs w:val="21"/>
                <w:highlight w:val="none"/>
                <w:u w:val="none" w:color="auto"/>
                <w:lang w:val="en-US" w:eastAsia="zh-CN" w:bidi="ar-SA"/>
              </w:rPr>
              <w:t>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90" w:type="dxa"/>
            <w:noWrap w:val="0"/>
            <w:vAlign w:val="center"/>
          </w:tcPr>
          <w:p w14:paraId="7D00C62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1.规范水费收缴，</w:t>
            </w:r>
            <w:r>
              <w:rPr>
                <w:rFonts w:hint="eastAsia" w:eastAsia="方正仿宋简体" w:cs="（使用中文字体）"/>
                <w:b w:val="0"/>
                <w:bCs w:val="0"/>
                <w:color w:val="auto"/>
                <w:spacing w:val="6"/>
                <w:sz w:val="21"/>
                <w:szCs w:val="21"/>
                <w:highlight w:val="none"/>
                <w:u w:val="none" w:color="auto"/>
                <w:vertAlign w:val="baseline"/>
                <w:lang w:val="en-US" w:eastAsia="zh-CN"/>
              </w:rPr>
              <w:t>特别是</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坐收坐支</w:t>
            </w:r>
            <w:r>
              <w:rPr>
                <w:rFonts w:hint="eastAsia" w:eastAsia="方正仿宋简体" w:cs="（使用中文字体）"/>
                <w:b w:val="0"/>
                <w:bCs w:val="0"/>
                <w:color w:val="auto"/>
                <w:spacing w:val="6"/>
                <w:sz w:val="21"/>
                <w:szCs w:val="21"/>
                <w:highlight w:val="none"/>
                <w:u w:val="none" w:color="auto"/>
                <w:vertAlign w:val="baseline"/>
                <w:lang w:val="en-US" w:eastAsia="zh-CN"/>
              </w:rPr>
              <w:t>问题整改</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015" w:type="dxa"/>
            <w:noWrap w:val="0"/>
            <w:vAlign w:val="center"/>
          </w:tcPr>
          <w:p w14:paraId="2A130CB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强化宣传引导，提高水费管理意识，利用村组会议、公告栏、微信群、村民大会等渠道，宣传水费收缴管理的政策依据、计算标准及用途（如用于水管维护、水源保障等），明确“用水付费”的基本原则。对整村所有家庭进行逐户排查，详细记录每家每户的用水设施数量、用水频率、估算月均用水量等信息，建立用水档案；二是组织召开村民代表大会，就水费收缴标准进行讨论和表决，并结合本村实际供水成本，制定合理的水费收费标准；三是规范管理流程，确保信息透明，明确专人负责水费管理，定期抄录水表数据，核对后在村组公示栏和微信群同步公示每户用水量、应缴金额、缴费截止日期等信息，接受村民监督安排专人负责水费收缴工作，制作水费收缴台账，详细记录每户的缴费情况，包括缴费时间、缴费金额等；四是建立长效机制，建立水费收缴台账，定期统计收缴情况，对未缴费村民及时提醒，形成“每月抄表、每月公示、每月催缴”的常态化流程。将水费缴纳情况与村组评优评先等挂钩，对按时缴费的村民给予适当表扬，营造积极缴费的氛围。</w:t>
            </w:r>
          </w:p>
        </w:tc>
        <w:tc>
          <w:tcPr>
            <w:tcW w:w="1575" w:type="dxa"/>
            <w:noWrap w:val="0"/>
            <w:vAlign w:val="center"/>
          </w:tcPr>
          <w:p w14:paraId="091671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99F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9" w:type="dxa"/>
            <w:vMerge w:val="continue"/>
            <w:noWrap w:val="0"/>
            <w:vAlign w:val="center"/>
          </w:tcPr>
          <w:p w14:paraId="142651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6362380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restart"/>
            <w:noWrap w:val="0"/>
            <w:vAlign w:val="center"/>
          </w:tcPr>
          <w:p w14:paraId="1E9ECD7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2.</w:t>
            </w:r>
            <w:r>
              <w:rPr>
                <w:rFonts w:hint="eastAsia" w:eastAsia="方正仿宋简体" w:cs="（使用中文字体）"/>
                <w:b w:val="0"/>
                <w:bCs w:val="0"/>
                <w:color w:val="auto"/>
                <w:spacing w:val="6"/>
                <w:sz w:val="21"/>
                <w:szCs w:val="21"/>
                <w:highlight w:val="none"/>
                <w:u w:val="none" w:color="auto"/>
                <w:vertAlign w:val="baseline"/>
                <w:lang w:val="en-US" w:eastAsia="zh-CN"/>
              </w:rPr>
              <w:t>严格规范</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资金支出审批</w:t>
            </w:r>
            <w:r>
              <w:rPr>
                <w:rFonts w:hint="eastAsia" w:eastAsia="方正仿宋简体" w:cs="（使用中文字体）"/>
                <w:b w:val="0"/>
                <w:bCs w:val="0"/>
                <w:color w:val="auto"/>
                <w:spacing w:val="6"/>
                <w:sz w:val="21"/>
                <w:szCs w:val="21"/>
                <w:highlight w:val="none"/>
                <w:u w:val="none" w:color="auto"/>
                <w:vertAlign w:val="baseline"/>
                <w:lang w:val="en-US" w:eastAsia="zh-CN"/>
              </w:rPr>
              <w:t>、</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支出依据。</w:t>
            </w:r>
          </w:p>
        </w:tc>
        <w:tc>
          <w:tcPr>
            <w:tcW w:w="6015" w:type="dxa"/>
            <w:noWrap w:val="0"/>
            <w:vAlign w:val="center"/>
          </w:tcPr>
          <w:p w14:paraId="277C0D3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健全制度，规范支出流程，明确资金支出的审批权限、标准和程序；完善支出依据要求，所有支出必须附有发票、会议纪要、会议照片等原始凭证</w:t>
            </w:r>
            <w:r>
              <w:rPr>
                <w:rFonts w:hint="default" w:ascii="Times New Roman" w:hAnsi="Times New Roman" w:eastAsia="方正仿宋简体" w:cs="（使用中文字体）"/>
                <w:b w:val="0"/>
                <w:bCs w:val="0"/>
                <w:color w:val="auto"/>
                <w:spacing w:val="6"/>
                <w:sz w:val="21"/>
                <w:szCs w:val="21"/>
                <w:highlight w:val="none"/>
                <w:u w:val="none" w:color="auto"/>
                <w:vertAlign w:val="baseline"/>
              </w:rPr>
              <w:t>。</w:t>
            </w:r>
          </w:p>
        </w:tc>
        <w:tc>
          <w:tcPr>
            <w:tcW w:w="1575" w:type="dxa"/>
            <w:noWrap w:val="0"/>
            <w:vAlign w:val="center"/>
          </w:tcPr>
          <w:p w14:paraId="6EB789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5AA8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659" w:type="dxa"/>
            <w:vMerge w:val="continue"/>
            <w:noWrap w:val="0"/>
            <w:vAlign w:val="center"/>
          </w:tcPr>
          <w:p w14:paraId="509897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5AC825B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continue"/>
            <w:noWrap w:val="0"/>
            <w:vAlign w:val="center"/>
          </w:tcPr>
          <w:p w14:paraId="57A0FDE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015" w:type="dxa"/>
            <w:noWrap w:val="0"/>
            <w:vAlign w:val="center"/>
          </w:tcPr>
          <w:p w14:paraId="0E1EC21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严格审批流程，强化责任落实，推行“谁签字，谁负责”的机制</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w:t>
            </w:r>
          </w:p>
        </w:tc>
        <w:tc>
          <w:tcPr>
            <w:tcW w:w="1575" w:type="dxa"/>
            <w:noWrap w:val="0"/>
            <w:vAlign w:val="center"/>
          </w:tcPr>
          <w:p w14:paraId="45B47F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379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659" w:type="dxa"/>
            <w:vMerge w:val="continue"/>
            <w:noWrap w:val="0"/>
            <w:vAlign w:val="center"/>
          </w:tcPr>
          <w:p w14:paraId="478415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2F58D03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restart"/>
            <w:noWrap w:val="0"/>
            <w:vAlign w:val="center"/>
          </w:tcPr>
          <w:p w14:paraId="03157CA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3.扶持</w:t>
            </w:r>
            <w:r>
              <w:rPr>
                <w:rFonts w:hint="eastAsia" w:eastAsia="方正仿宋简体" w:cs="（使用中文字体）"/>
                <w:b w:val="0"/>
                <w:bCs w:val="0"/>
                <w:color w:val="auto"/>
                <w:spacing w:val="6"/>
                <w:sz w:val="21"/>
                <w:szCs w:val="21"/>
                <w:highlight w:val="none"/>
                <w:u w:val="none" w:color="auto"/>
                <w:vertAlign w:val="baseline"/>
                <w:lang w:val="en-US" w:eastAsia="zh-CN"/>
              </w:rPr>
              <w:t>推进</w:t>
            </w:r>
            <w:r>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t>项目监管和利益联结机制落实。</w:t>
            </w:r>
          </w:p>
        </w:tc>
        <w:tc>
          <w:tcPr>
            <w:tcW w:w="6015" w:type="dxa"/>
            <w:noWrap w:val="0"/>
            <w:vAlign w:val="center"/>
          </w:tcPr>
          <w:p w14:paraId="2B7A0BE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由村两委负责全面清查移民后期扶持资金入股公司项目资金入股及分红情况，核实资金流向和相关合同协议的真实性、完整性。</w:t>
            </w:r>
          </w:p>
        </w:tc>
        <w:tc>
          <w:tcPr>
            <w:tcW w:w="1575" w:type="dxa"/>
            <w:noWrap w:val="0"/>
            <w:vAlign w:val="center"/>
          </w:tcPr>
          <w:p w14:paraId="74C0FA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BDC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1659" w:type="dxa"/>
            <w:vMerge w:val="continue"/>
            <w:noWrap w:val="0"/>
            <w:vAlign w:val="center"/>
          </w:tcPr>
          <w:p w14:paraId="3A8B76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184AD67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continue"/>
            <w:noWrap w:val="0"/>
            <w:vAlign w:val="center"/>
          </w:tcPr>
          <w:p w14:paraId="2D63D81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015" w:type="dxa"/>
            <w:noWrap w:val="0"/>
            <w:vAlign w:val="center"/>
          </w:tcPr>
          <w:p w14:paraId="6519C40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与澜沧文东工程队进行深入沟通协商，明确要求其尽快支付入股分红款，并限定支付期限。同时，密切跟踪工程队支付进度，若逾期未支付，通过法律途径维护村集体权益；二是完善村集体资金管理制度，加强对类似项目资金的监管力度，建立健全资金使用审批流程和风险防控机制，确保今后不再出现类似资金管理漏洞和分红未及时兑付的情况。</w:t>
            </w:r>
          </w:p>
        </w:tc>
        <w:tc>
          <w:tcPr>
            <w:tcW w:w="1575" w:type="dxa"/>
            <w:noWrap w:val="0"/>
            <w:vAlign w:val="center"/>
          </w:tcPr>
          <w:p w14:paraId="79F24C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4AEC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9" w:type="dxa"/>
            <w:vMerge w:val="restart"/>
            <w:noWrap w:val="0"/>
            <w:vAlign w:val="center"/>
          </w:tcPr>
          <w:p w14:paraId="6C7B17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7</w:t>
            </w:r>
          </w:p>
        </w:tc>
        <w:tc>
          <w:tcPr>
            <w:tcW w:w="3218" w:type="dxa"/>
            <w:vMerge w:val="restart"/>
            <w:noWrap w:val="0"/>
            <w:vAlign w:val="center"/>
          </w:tcPr>
          <w:p w14:paraId="04C70A2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r>
              <w:rPr>
                <w:rFonts w:hint="eastAsia" w:eastAsia="方正仿宋简体" w:cs="（使用中文字体）"/>
                <w:b w:val="0"/>
                <w:bCs w:val="0"/>
                <w:color w:val="auto"/>
                <w:spacing w:val="6"/>
                <w:sz w:val="21"/>
                <w:szCs w:val="21"/>
                <w:highlight w:val="none"/>
                <w:u w:val="none" w:color="auto"/>
                <w:vertAlign w:val="baseline"/>
                <w:lang w:eastAsia="zh-CN"/>
              </w:rPr>
              <w:t>七、关于</w:t>
            </w:r>
            <w:r>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t>检查基层党组织领导班子和干部队伍建设方面</w:t>
            </w:r>
            <w:r>
              <w:rPr>
                <w:rFonts w:hint="eastAsia" w:eastAsia="方正仿宋简体" w:cs="Times New Roman"/>
                <w:b w:val="0"/>
                <w:bCs/>
                <w:color w:val="auto"/>
                <w:spacing w:val="0"/>
                <w:kern w:val="2"/>
                <w:sz w:val="21"/>
                <w:szCs w:val="21"/>
                <w:highlight w:val="none"/>
                <w:u w:val="none" w:color="auto"/>
                <w:lang w:val="en-US" w:eastAsia="zh-CN" w:bidi="ar-SA"/>
              </w:rPr>
              <w:t>的整改进展</w:t>
            </w:r>
            <w:r>
              <w:rPr>
                <w:rFonts w:hint="default" w:ascii="Times New Roman" w:hAnsi="Times New Roman" w:eastAsia="方正仿宋简体" w:cs="Times New Roman"/>
                <w:b w:val="0"/>
                <w:bCs/>
                <w:color w:val="auto"/>
                <w:spacing w:val="0"/>
                <w:kern w:val="2"/>
                <w:sz w:val="21"/>
                <w:szCs w:val="21"/>
                <w:highlight w:val="none"/>
                <w:u w:val="none" w:color="auto"/>
                <w:lang w:val="en-US" w:eastAsia="zh-CN" w:bidi="ar-SA"/>
              </w:rPr>
              <w:t>情况</w:t>
            </w:r>
          </w:p>
        </w:tc>
        <w:tc>
          <w:tcPr>
            <w:tcW w:w="2790" w:type="dxa"/>
            <w:vMerge w:val="restart"/>
            <w:noWrap w:val="0"/>
            <w:vAlign w:val="center"/>
          </w:tcPr>
          <w:p w14:paraId="10B5CE6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1.</w:t>
            </w:r>
            <w:r>
              <w:rPr>
                <w:rFonts w:hint="eastAsia" w:eastAsia="方正仿宋简体" w:cs="（使用中文字体）"/>
                <w:b w:val="0"/>
                <w:bCs w:val="0"/>
                <w:color w:val="auto"/>
                <w:spacing w:val="6"/>
                <w:sz w:val="21"/>
                <w:szCs w:val="21"/>
                <w:highlight w:val="none"/>
                <w:u w:val="none" w:color="auto"/>
                <w:vertAlign w:val="baseline"/>
                <w:lang w:val="en-US" w:eastAsia="zh-CN"/>
              </w:rPr>
              <w:t>提高</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思想认识，组织生活会</w:t>
            </w:r>
            <w:r>
              <w:rPr>
                <w:rFonts w:hint="eastAsia" w:eastAsia="方正仿宋简体" w:cs="（使用中文字体）"/>
                <w:b w:val="0"/>
                <w:bCs w:val="0"/>
                <w:color w:val="auto"/>
                <w:spacing w:val="6"/>
                <w:sz w:val="21"/>
                <w:szCs w:val="21"/>
                <w:highlight w:val="none"/>
                <w:u w:val="none" w:color="auto"/>
                <w:vertAlign w:val="baseline"/>
                <w:lang w:val="en-US" w:eastAsia="zh-CN"/>
              </w:rPr>
              <w:t>等严格执行</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w:t>
            </w:r>
          </w:p>
        </w:tc>
        <w:tc>
          <w:tcPr>
            <w:tcW w:w="6015" w:type="dxa"/>
            <w:noWrap w:val="0"/>
            <w:vAlign w:val="center"/>
          </w:tcPr>
          <w:p w14:paraId="2AEB92B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专题讲解组织生活会流程规范，提高党支部工作能力，对仍存在模板化、未结合实际的支部，由村党总支书记、主任约谈党支部书记并限期整改，整改情况与支部分类定级挂钩。二是严格材料审核。要求发言材料必须结合个人职责和实际问题，避免照搬模板。支部书记或上级党组织对材料内容进行审核，对空话套话退回修改。三是开展会前学习。针对会议主题组织专题学习（如党章党规、典型案例），提供学习资料并安排集中研讨，为批评与自我批评打好思想基础。四是加强培训指导。每年开展党务工作者专题培训，教授如何高效组织生活会，并编发《实效性组织生活会案例手册》。</w:t>
            </w:r>
          </w:p>
        </w:tc>
        <w:tc>
          <w:tcPr>
            <w:tcW w:w="1575" w:type="dxa"/>
            <w:noWrap w:val="0"/>
            <w:vAlign w:val="center"/>
          </w:tcPr>
          <w:p w14:paraId="65C1B5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6EB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1659" w:type="dxa"/>
            <w:vMerge w:val="continue"/>
            <w:noWrap w:val="0"/>
            <w:vAlign w:val="center"/>
          </w:tcPr>
          <w:p w14:paraId="0678B2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6F35B5F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continue"/>
            <w:noWrap w:val="0"/>
            <w:vAlign w:val="center"/>
          </w:tcPr>
          <w:p w14:paraId="6087472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015" w:type="dxa"/>
            <w:noWrap w:val="0"/>
            <w:vAlign w:val="center"/>
          </w:tcPr>
          <w:p w14:paraId="6CDF982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通过组织学习、培训，加强党务工作者业务知识储备和党员的思想政治素质，规范开展组织生活会。加强对未来组织生活会流程进行“会前预审、会中监督、会后跟踪”管理，会前认真审核会议方案、对照检查材料是否符合规范；会后跟踪整改落实情况，对整改不力的党员进行约谈提醒。</w:t>
            </w:r>
          </w:p>
        </w:tc>
        <w:tc>
          <w:tcPr>
            <w:tcW w:w="1575" w:type="dxa"/>
            <w:noWrap w:val="0"/>
            <w:vAlign w:val="center"/>
          </w:tcPr>
          <w:p w14:paraId="301838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4F2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9" w:type="dxa"/>
            <w:vMerge w:val="continue"/>
            <w:noWrap w:val="0"/>
            <w:vAlign w:val="center"/>
          </w:tcPr>
          <w:p w14:paraId="4A3F5B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006A92E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noWrap w:val="0"/>
            <w:vAlign w:val="center"/>
          </w:tcPr>
          <w:p w14:paraId="1AFA2E4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2.</w:t>
            </w:r>
            <w:r>
              <w:rPr>
                <w:rFonts w:hint="eastAsia" w:eastAsia="方正仿宋简体" w:cs="（使用中文字体）"/>
                <w:b w:val="0"/>
                <w:bCs w:val="0"/>
                <w:color w:val="auto"/>
                <w:spacing w:val="6"/>
                <w:sz w:val="21"/>
                <w:szCs w:val="21"/>
                <w:highlight w:val="none"/>
                <w:u w:val="none" w:color="auto"/>
                <w:vertAlign w:val="baseline"/>
                <w:lang w:val="en-US" w:eastAsia="zh-CN"/>
              </w:rPr>
              <w:t>不断规范</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议事决策。</w:t>
            </w:r>
          </w:p>
        </w:tc>
        <w:tc>
          <w:tcPr>
            <w:tcW w:w="6015" w:type="dxa"/>
            <w:noWrap w:val="0"/>
            <w:vAlign w:val="center"/>
          </w:tcPr>
          <w:p w14:paraId="7D3C748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规范会议记录专人专本管理，分别指定专人记录村党总支会议、村委会会议。明确必须记录会议的范畴（如村党总支会议、村委会议、专题研究会等），规定会议记录为决策必备附件，无记录视为无效决策，建立“一会一档”归档标准（会议通知+签到表+原始记录+照片+决议文件）。会后由记录员整理完善，经村党总支书记、主任审核后存档，严禁个人零散记录替代。</w:t>
            </w:r>
          </w:p>
        </w:tc>
        <w:tc>
          <w:tcPr>
            <w:tcW w:w="1575" w:type="dxa"/>
            <w:noWrap w:val="0"/>
            <w:vAlign w:val="center"/>
          </w:tcPr>
          <w:p w14:paraId="0515CC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12F1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9" w:type="dxa"/>
            <w:vMerge w:val="continue"/>
            <w:noWrap w:val="0"/>
            <w:vAlign w:val="center"/>
          </w:tcPr>
          <w:p w14:paraId="1780FA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1E0BD7B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restart"/>
            <w:noWrap w:val="0"/>
            <w:vAlign w:val="center"/>
          </w:tcPr>
          <w:p w14:paraId="684FAB5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lang w:val="en-US" w:eastAsia="zh-CN"/>
              </w:rPr>
            </w:pP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3.党总支落实党建主体责任、发挥</w:t>
            </w:r>
            <w:r>
              <w:rPr>
                <w:rFonts w:hint="eastAsia" w:eastAsia="方正仿宋简体" w:cs="（使用中文字体）"/>
                <w:b w:val="0"/>
                <w:bCs w:val="0"/>
                <w:color w:val="auto"/>
                <w:spacing w:val="6"/>
                <w:sz w:val="21"/>
                <w:szCs w:val="21"/>
                <w:highlight w:val="none"/>
                <w:u w:val="none" w:color="auto"/>
                <w:vertAlign w:val="baseline"/>
                <w:lang w:val="en-US" w:eastAsia="zh-CN"/>
              </w:rPr>
              <w:t>好</w:t>
            </w:r>
            <w:r>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t>政治功能</w:t>
            </w:r>
            <w:r>
              <w:rPr>
                <w:rFonts w:hint="eastAsia" w:eastAsia="方正仿宋简体" w:cs="（使用中文字体）"/>
                <w:b w:val="0"/>
                <w:bCs w:val="0"/>
                <w:color w:val="auto"/>
                <w:spacing w:val="6"/>
                <w:sz w:val="21"/>
                <w:szCs w:val="21"/>
                <w:highlight w:val="none"/>
                <w:u w:val="none" w:color="auto"/>
                <w:vertAlign w:val="baseline"/>
                <w:lang w:val="en-US" w:eastAsia="zh-CN"/>
              </w:rPr>
              <w:t>。</w:t>
            </w:r>
          </w:p>
        </w:tc>
        <w:tc>
          <w:tcPr>
            <w:tcW w:w="6015" w:type="dxa"/>
            <w:noWrap w:val="0"/>
            <w:vAlign w:val="center"/>
          </w:tcPr>
          <w:p w14:paraId="1BB15A6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强化班子建设，提升整体效能。结合村班子换届工作，对村班子结构、岗位进行调整，建立“能上能下”机制。同时，落实每周例会制度和重大事项事前协商制度，进一步明确议事规则，健全沟通机制。</w:t>
            </w:r>
          </w:p>
        </w:tc>
        <w:tc>
          <w:tcPr>
            <w:tcW w:w="1575" w:type="dxa"/>
            <w:noWrap w:val="0"/>
            <w:vAlign w:val="center"/>
          </w:tcPr>
          <w:p w14:paraId="02840A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23A1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9" w:type="dxa"/>
            <w:vMerge w:val="continue"/>
            <w:noWrap w:val="0"/>
            <w:vAlign w:val="center"/>
          </w:tcPr>
          <w:p w14:paraId="6DDDB6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41607B2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continue"/>
            <w:noWrap w:val="0"/>
            <w:vAlign w:val="center"/>
          </w:tcPr>
          <w:p w14:paraId="3337428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015" w:type="dxa"/>
            <w:noWrap w:val="0"/>
            <w:vAlign w:val="center"/>
          </w:tcPr>
          <w:p w14:paraId="5533F00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一是动态掌握返乡大学生、外出务工经商人员、退役军人、致富带头人、农村实用人才等类别的农村优秀人才，充实村干部后备力量，积极动员优秀人才进入村班子。二是鼓励村干部、符合条件的农村优秀人才积极参加能力素质和学历水平提升行动，通过“双提升”持续优化干部队伍学历结构。三是村党总支书记、主任通过日常谈话、走访、思想教育等方式及时掌握村干部思想动态。</w:t>
            </w:r>
          </w:p>
        </w:tc>
        <w:tc>
          <w:tcPr>
            <w:tcW w:w="1575" w:type="dxa"/>
            <w:noWrap w:val="0"/>
            <w:vAlign w:val="center"/>
          </w:tcPr>
          <w:p w14:paraId="7707F7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r w14:paraId="6EE1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1659" w:type="dxa"/>
            <w:vMerge w:val="continue"/>
            <w:noWrap w:val="0"/>
            <w:vAlign w:val="center"/>
          </w:tcPr>
          <w:p w14:paraId="3CD19B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3218" w:type="dxa"/>
            <w:vMerge w:val="continue"/>
            <w:noWrap w:val="0"/>
            <w:vAlign w:val="center"/>
          </w:tcPr>
          <w:p w14:paraId="573C6FB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eastAsia="zh-CN"/>
              </w:rPr>
            </w:pPr>
          </w:p>
        </w:tc>
        <w:tc>
          <w:tcPr>
            <w:tcW w:w="2790" w:type="dxa"/>
            <w:vMerge w:val="continue"/>
            <w:noWrap w:val="0"/>
            <w:vAlign w:val="center"/>
          </w:tcPr>
          <w:p w14:paraId="2193B6E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方正仿宋简体" w:cs="（使用中文字体）"/>
                <w:b w:val="0"/>
                <w:bCs w:val="0"/>
                <w:color w:val="auto"/>
                <w:spacing w:val="6"/>
                <w:sz w:val="21"/>
                <w:szCs w:val="21"/>
                <w:highlight w:val="none"/>
                <w:u w:val="none" w:color="auto"/>
                <w:vertAlign w:val="baseline"/>
                <w:lang w:val="en-US" w:eastAsia="zh-CN"/>
              </w:rPr>
            </w:pPr>
          </w:p>
        </w:tc>
        <w:tc>
          <w:tcPr>
            <w:tcW w:w="6015" w:type="dxa"/>
            <w:noWrap w:val="0"/>
            <w:vAlign w:val="center"/>
          </w:tcPr>
          <w:p w14:paraId="7ACF6EF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简体" w:cs="（使用中文字体）"/>
                <w:b w:val="0"/>
                <w:bCs w:val="0"/>
                <w:color w:val="auto"/>
                <w:spacing w:val="6"/>
                <w:kern w:val="2"/>
                <w:sz w:val="21"/>
                <w:szCs w:val="21"/>
                <w:highlight w:val="none"/>
                <w:u w:val="none" w:color="auto"/>
                <w:vertAlign w:val="baseline"/>
                <w:lang w:val="en-US" w:eastAsia="zh-CN" w:bidi="ar-SA"/>
              </w:rPr>
            </w:pPr>
            <w:r>
              <w:rPr>
                <w:rFonts w:hint="default" w:ascii="Times New Roman" w:hAnsi="Times New Roman" w:eastAsia="方正仿宋简体" w:cs="（使用中文字体）"/>
                <w:b w:val="0"/>
                <w:bCs w:val="0"/>
                <w:color w:val="auto"/>
                <w:spacing w:val="6"/>
                <w:sz w:val="21"/>
                <w:szCs w:val="21"/>
                <w:highlight w:val="none"/>
                <w:u w:val="none" w:color="auto"/>
                <w:vertAlign w:val="baseline"/>
              </w:rPr>
              <w:t>优化党员队伍结构。一是重点发展35岁以下、高中以上文化的青年入党，注重从返乡创业人员、村干部后备力量中培养积极分子，对60岁以上党员占比超50%的支部下达发展年轻党员硬指标；二是建立“老党员+新党员”帮带对子，通过安排年轻党员参与本村重要任务、常态工作来压担子，也在传承红色经验的同时注入新思路。</w:t>
            </w:r>
          </w:p>
        </w:tc>
        <w:tc>
          <w:tcPr>
            <w:tcW w:w="1575" w:type="dxa"/>
            <w:noWrap w:val="0"/>
            <w:vAlign w:val="center"/>
          </w:tcPr>
          <w:p w14:paraId="09BAA8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简体" w:cs="（使用中文字体）"/>
                <w:b w:val="0"/>
                <w:bCs w:val="0"/>
                <w:color w:val="auto"/>
                <w:spacing w:val="6"/>
                <w:sz w:val="21"/>
                <w:szCs w:val="21"/>
                <w:highlight w:val="none"/>
                <w:u w:val="none" w:color="auto"/>
                <w:vertAlign w:val="baseline"/>
              </w:rPr>
            </w:pPr>
          </w:p>
        </w:tc>
      </w:tr>
    </w:tbl>
    <w:p w14:paraId="1DAFB54D"/>
    <w:p w14:paraId="2540DFE5">
      <w:pPr>
        <w:pStyle w:val="9"/>
        <w:rPr>
          <w:rFonts w:hint="eastAsia" w:ascii="Times New Roman" w:hAnsi="Times New Roman" w:eastAsia="方正仿宋简体" w:cs="Times New Roman"/>
          <w:lang w:eastAsia="zh-CN"/>
        </w:rPr>
      </w:pPr>
    </w:p>
    <w:p w14:paraId="6CD83F1F">
      <w:pPr>
        <w:pStyle w:val="9"/>
        <w:rPr>
          <w:rFonts w:hint="eastAsia" w:ascii="Times New Roman" w:hAnsi="Times New Roman" w:eastAsia="方正仿宋简体" w:cs="Times New Roman"/>
          <w:lang w:eastAsia="zh-CN"/>
        </w:rPr>
      </w:pPr>
    </w:p>
    <w:p w14:paraId="67659041">
      <w:pPr>
        <w:pStyle w:val="9"/>
        <w:rPr>
          <w:rFonts w:hint="eastAsia" w:ascii="Times New Roman" w:hAnsi="Times New Roman" w:eastAsia="方正仿宋简体" w:cs="Times New Roman"/>
          <w:lang w:eastAsia="zh-CN"/>
        </w:rPr>
      </w:pPr>
    </w:p>
    <w:p w14:paraId="479C6E0A">
      <w:pPr>
        <w:pStyle w:val="9"/>
        <w:rPr>
          <w:rFonts w:hint="eastAsia" w:ascii="Times New Roman" w:hAnsi="Times New Roman" w:eastAsia="方正仿宋简体" w:cs="Times New Roman"/>
          <w:lang w:eastAsia="zh-CN"/>
        </w:rPr>
      </w:pPr>
    </w:p>
    <w:p w14:paraId="34761774">
      <w:pPr>
        <w:pStyle w:val="9"/>
        <w:rPr>
          <w:rFonts w:hint="eastAsia" w:ascii="Times New Roman" w:hAnsi="Times New Roman" w:eastAsia="方正仿宋简体" w:cs="Times New Roman"/>
          <w:lang w:eastAsia="zh-CN"/>
        </w:rPr>
      </w:pPr>
    </w:p>
    <w:p w14:paraId="405B9373">
      <w:pPr>
        <w:pStyle w:val="9"/>
        <w:rPr>
          <w:rFonts w:hint="eastAsia" w:ascii="Times New Roman" w:hAnsi="Times New Roman" w:eastAsia="方正仿宋简体" w:cs="Times New Roman"/>
          <w:lang w:eastAsia="zh-CN"/>
        </w:rPr>
      </w:pPr>
    </w:p>
    <w:p w14:paraId="0FC91B46">
      <w:pPr>
        <w:pStyle w:val="9"/>
        <w:rPr>
          <w:rFonts w:hint="eastAsia" w:ascii="Times New Roman" w:hAnsi="Times New Roman" w:eastAsia="方正仿宋简体" w:cs="Times New Roman"/>
          <w:lang w:eastAsia="zh-CN"/>
        </w:rPr>
      </w:pPr>
    </w:p>
    <w:p w14:paraId="79A68FCB">
      <w:pPr>
        <w:pStyle w:val="9"/>
        <w:rPr>
          <w:rFonts w:hint="eastAsia" w:ascii="Times New Roman" w:hAnsi="Times New Roman" w:eastAsia="方正仿宋简体" w:cs="Times New Roman"/>
          <w:lang w:eastAsia="zh-CN"/>
        </w:rPr>
      </w:pPr>
    </w:p>
    <w:p w14:paraId="263C4DC6">
      <w:pPr>
        <w:pStyle w:val="9"/>
        <w:rPr>
          <w:rFonts w:hint="eastAsia" w:ascii="Times New Roman" w:hAnsi="Times New Roman" w:eastAsia="方正仿宋简体" w:cs="Times New Roman"/>
          <w:lang w:eastAsia="zh-CN"/>
        </w:rPr>
      </w:pPr>
    </w:p>
    <w:p w14:paraId="2BF75F2B">
      <w:pPr>
        <w:pStyle w:val="9"/>
        <w:rPr>
          <w:rFonts w:hint="eastAsia" w:ascii="Times New Roman" w:hAnsi="Times New Roman" w:eastAsia="方正仿宋简体" w:cs="Times New Roman"/>
          <w:lang w:eastAsia="zh-CN"/>
        </w:rPr>
      </w:pPr>
    </w:p>
    <w:p w14:paraId="4133216F">
      <w:pPr>
        <w:pStyle w:val="9"/>
        <w:rPr>
          <w:rFonts w:hint="eastAsia" w:ascii="Times New Roman" w:hAnsi="Times New Roman" w:eastAsia="方正仿宋简体" w:cs="Times New Roman"/>
          <w:lang w:eastAsia="zh-CN"/>
        </w:rPr>
      </w:pPr>
    </w:p>
    <w:p w14:paraId="5B90E558">
      <w:pPr>
        <w:pStyle w:val="9"/>
        <w:rPr>
          <w:rFonts w:hint="eastAsia" w:ascii="Times New Roman" w:hAnsi="Times New Roman" w:eastAsia="方正仿宋简体" w:cs="Times New Roman"/>
          <w:lang w:eastAsia="zh-CN"/>
        </w:rPr>
      </w:pPr>
    </w:p>
    <w:p w14:paraId="5DB4CFBB">
      <w:pPr>
        <w:pStyle w:val="9"/>
        <w:rPr>
          <w:rFonts w:hint="eastAsia" w:ascii="Times New Roman" w:hAnsi="Times New Roman" w:eastAsia="方正仿宋简体" w:cs="Times New Roman"/>
          <w:lang w:eastAsia="zh-CN"/>
        </w:rPr>
      </w:pPr>
    </w:p>
    <w:p w14:paraId="1A4BA73A"/>
    <w:sectPr>
      <w:footerReference r:id="rId3" w:type="default"/>
      <w:pgSz w:w="16838" w:h="11906" w:orient="landscape"/>
      <w:pgMar w:top="1587" w:right="2211" w:bottom="1474" w:left="187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使用中文字体）">
    <w:altName w:val="yyb"/>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yyb">
    <w:panose1 w:val="020B0200000000000000"/>
    <w:charset w:val="86"/>
    <w:family w:val="auto"/>
    <w:pitch w:val="default"/>
    <w:sig w:usb0="20000083" w:usb1="10000000" w:usb2="00000016" w:usb3="00000000" w:csb0="6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48AD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E1E023">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F8162"/>
    <w:multiLevelType w:val="singleLevel"/>
    <w:tmpl w:val="EBDF8162"/>
    <w:lvl w:ilvl="0" w:tentative="0">
      <w:start w:val="1"/>
      <w:numFmt w:val="chineseCounting"/>
      <w:pStyle w:val="2"/>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B0C68"/>
    <w:rsid w:val="0E6B0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unhideWhenUsed/>
    <w:qFormat/>
    <w:uiPriority w:val="0"/>
    <w:pPr>
      <w:keepNext/>
      <w:keepLines/>
      <w:widowControl w:val="0"/>
      <w:numPr>
        <w:ilvl w:val="0"/>
        <w:numId w:val="1"/>
      </w:numPr>
      <w:spacing w:line="560" w:lineRule="exact"/>
      <w:ind w:firstLine="880" w:firstLineChars="200"/>
      <w:jc w:val="both"/>
      <w:outlineLvl w:val="1"/>
    </w:pPr>
    <w:rPr>
      <w:rFonts w:ascii="Times New Roman" w:hAnsi="Times New Roman" w:eastAsia="方正楷体简体" w:cs="Times New Roman"/>
      <w:kern w:val="2"/>
      <w:sz w:val="34"/>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2"/>
    <w:qFormat/>
    <w:uiPriority w:val="0"/>
    <w:pPr>
      <w:widowControl w:val="0"/>
      <w:spacing w:after="120" w:afterLines="0" w:afterAutospacing="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jc w:val="left"/>
    </w:pPr>
    <w:rPr>
      <w:kern w:val="0"/>
      <w:sz w:val="24"/>
      <w:szCs w:val="24"/>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Normal Indent1"/>
    <w:basedOn w:val="10"/>
    <w:qFormat/>
    <w:uiPriority w:val="0"/>
    <w:pPr>
      <w:ind w:firstLine="420" w:firstLineChars="200"/>
    </w:pPr>
  </w:style>
  <w:style w:type="paragraph" w:customStyle="1" w:styleId="10">
    <w:name w:val="正文 New New New"/>
    <w:next w:val="9"/>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2026-09-03T06:22:00Z</dcterms:created>
  <dc:creator>在水一方</dc:creator>
  <cp:lastModifiedBy>在水一方</cp:lastModifiedBy>
  <dcterms:modified xsi:type="dcterms:W3CDTF">2026-09-03T06:24:36Z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C53BF5ACF3A04BB6872B5A9E3A33E024_11</vt:lpwstr>
  </property>
  <property fmtid="{D5CDD505-2E9C-101B-9397-08002B2CF9AE}" pid="4" name="KSOTemplateDocerSaveRecord">
    <vt:lpwstr>eyJoZGlkIjoiZjVkZGY1M2E5OTE3ZDk1MzRmZjIzNDNkMTIxMTcxYmIiLCJ1c2VySWQiOiI0NjM0MDM3NDMifQ==</vt:lpwstr>
  </property>
</Properties>
</file>