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D1DCA">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default" w:ascii="Times New Roman" w:hAnsi="Times New Roman" w:eastAsia="方正黑体简体" w:cs="方正黑体简体"/>
          <w:sz w:val="34"/>
          <w:szCs w:val="44"/>
          <w:highlight w:val="none"/>
          <w:u w:val="none" w:color="auto"/>
          <w:lang w:val="en-US" w:eastAsia="zh-CN"/>
        </w:rPr>
      </w:pPr>
      <w:r>
        <w:rPr>
          <w:rFonts w:hint="eastAsia" w:eastAsia="方正黑体简体" w:cs="方正黑体简体"/>
          <w:sz w:val="34"/>
          <w:szCs w:val="44"/>
          <w:highlight w:val="none"/>
          <w:u w:val="none" w:color="auto"/>
          <w:lang w:val="en-US" w:eastAsia="zh-CN"/>
        </w:rPr>
        <w:t>附件8</w:t>
      </w:r>
    </w:p>
    <w:p w14:paraId="20457266">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center"/>
        <w:textAlignment w:val="auto"/>
        <w:rPr>
          <w:rFonts w:hint="default" w:ascii="Times New Roman" w:hAnsi="Times New Roman" w:eastAsia="方正小标宋简体" w:cs="Times New Roman"/>
          <w:sz w:val="44"/>
          <w:szCs w:val="44"/>
          <w:highlight w:val="none"/>
          <w:u w:val="none" w:color="auto"/>
          <w:lang w:val="en-US" w:eastAsia="zh-CN"/>
        </w:rPr>
      </w:pPr>
      <w:r>
        <w:rPr>
          <w:rFonts w:hint="eastAsia" w:ascii="Times New Roman" w:hAnsi="Times New Roman" w:eastAsia="方正小标宋简体" w:cs="Times New Roman"/>
          <w:sz w:val="44"/>
          <w:szCs w:val="44"/>
          <w:highlight w:val="none"/>
          <w:u w:val="none" w:color="auto"/>
          <w:lang w:val="en-US" w:eastAsia="zh-CN"/>
        </w:rPr>
        <w:t>十三届县委第八轮</w:t>
      </w:r>
      <w:r>
        <w:rPr>
          <w:rFonts w:hint="default" w:ascii="Times New Roman" w:hAnsi="Times New Roman" w:eastAsia="方正小标宋简体" w:cs="Times New Roman"/>
          <w:sz w:val="44"/>
          <w:szCs w:val="44"/>
          <w:highlight w:val="none"/>
          <w:u w:val="none" w:color="auto"/>
          <w:lang w:val="en-US" w:eastAsia="zh-CN"/>
        </w:rPr>
        <w:t>巡察</w:t>
      </w:r>
      <w:r>
        <w:rPr>
          <w:rFonts w:hint="eastAsia" w:eastAsia="方正小标宋简体" w:cs="Times New Roman"/>
          <w:sz w:val="44"/>
          <w:szCs w:val="44"/>
          <w:highlight w:val="none"/>
          <w:u w:val="none" w:color="auto"/>
          <w:lang w:val="en-US" w:eastAsia="zh-CN"/>
        </w:rPr>
        <w:t>云山</w:t>
      </w:r>
      <w:r>
        <w:rPr>
          <w:rFonts w:hint="eastAsia" w:ascii="Times New Roman" w:hAnsi="Times New Roman" w:eastAsia="方正小标宋简体" w:cs="Times New Roman"/>
          <w:sz w:val="44"/>
          <w:szCs w:val="44"/>
          <w:highlight w:val="none"/>
          <w:u w:val="none" w:color="auto"/>
          <w:lang w:val="en-US" w:eastAsia="zh-CN"/>
        </w:rPr>
        <w:t>村</w:t>
      </w:r>
      <w:r>
        <w:rPr>
          <w:rFonts w:hint="default" w:ascii="Times New Roman" w:hAnsi="Times New Roman" w:eastAsia="方正小标宋简体" w:cs="Times New Roman"/>
          <w:sz w:val="44"/>
          <w:szCs w:val="44"/>
          <w:highlight w:val="none"/>
          <w:u w:val="none" w:color="auto"/>
          <w:lang w:val="en-US" w:eastAsia="zh-CN"/>
        </w:rPr>
        <w:t>反馈问题整改台账</w:t>
      </w:r>
    </w:p>
    <w:p w14:paraId="1E80D01B">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Times New Roman" w:hAnsi="Times New Roman" w:eastAsia="方正小标宋简体" w:cs="Times New Roman"/>
          <w:sz w:val="44"/>
          <w:szCs w:val="44"/>
          <w:highlight w:val="none"/>
          <w:u w:val="none" w:color="auto"/>
          <w:lang w:val="en-US" w:eastAsia="zh-CN"/>
        </w:rPr>
      </w:pPr>
      <w:r>
        <w:rPr>
          <w:rFonts w:hint="eastAsia" w:ascii="方正楷体简体" w:hAnsi="方正楷体简体" w:eastAsia="方正楷体简体" w:cs="方正楷体简体"/>
          <w:b w:val="0"/>
          <w:bCs w:val="0"/>
          <w:sz w:val="24"/>
          <w:szCs w:val="24"/>
          <w:highlight w:val="none"/>
          <w:u w:val="none" w:color="auto"/>
        </w:rPr>
        <w:t>填报单位</w:t>
      </w:r>
      <w:r>
        <w:rPr>
          <w:rFonts w:hint="eastAsia" w:ascii="方正楷体简体" w:hAnsi="方正楷体简体" w:eastAsia="方正楷体简体" w:cs="方正楷体简体"/>
          <w:b w:val="0"/>
          <w:bCs w:val="0"/>
          <w:sz w:val="24"/>
          <w:szCs w:val="24"/>
          <w:highlight w:val="none"/>
          <w:u w:val="none" w:color="auto"/>
          <w:lang w:eastAsia="zh-CN"/>
        </w:rPr>
        <w:t>（加盖公章）</w:t>
      </w:r>
      <w:r>
        <w:rPr>
          <w:rFonts w:hint="eastAsia" w:ascii="方正楷体简体" w:hAnsi="方正楷体简体" w:eastAsia="方正楷体简体" w:cs="方正楷体简体"/>
          <w:b w:val="0"/>
          <w:bCs w:val="0"/>
          <w:sz w:val="24"/>
          <w:szCs w:val="24"/>
          <w:highlight w:val="none"/>
          <w:u w:val="none" w:color="auto"/>
        </w:rPr>
        <w:t>：</w:t>
      </w:r>
      <w:r>
        <w:rPr>
          <w:rFonts w:hint="eastAsia" w:ascii="方正楷体简体" w:hAnsi="方正楷体简体" w:eastAsia="方正楷体简体" w:cs="方正楷体简体"/>
          <w:b w:val="0"/>
          <w:bCs w:val="0"/>
          <w:sz w:val="24"/>
          <w:szCs w:val="24"/>
          <w:highlight w:val="none"/>
          <w:u w:val="none" w:color="auto"/>
          <w:lang w:val="en-US" w:eastAsia="zh-CN"/>
        </w:rPr>
        <w:t xml:space="preserve">                                                            </w:t>
      </w:r>
      <w:r>
        <w:rPr>
          <w:rFonts w:hint="eastAsia" w:ascii="方正楷体简体" w:hAnsi="方正楷体简体" w:eastAsia="方正楷体简体" w:cs="方正楷体简体"/>
          <w:b w:val="0"/>
          <w:bCs w:val="0"/>
          <w:sz w:val="24"/>
          <w:szCs w:val="24"/>
          <w:highlight w:val="none"/>
          <w:u w:val="none" w:color="auto"/>
        </w:rPr>
        <w:t>填报日期：</w:t>
      </w:r>
      <w:r>
        <w:rPr>
          <w:rFonts w:hint="eastAsia" w:ascii="方正楷体简体" w:hAnsi="方正楷体简体" w:eastAsia="方正楷体简体" w:cs="方正楷体简体"/>
          <w:b w:val="0"/>
          <w:bCs w:val="0"/>
          <w:sz w:val="24"/>
          <w:szCs w:val="24"/>
          <w:highlight w:val="none"/>
          <w:u w:val="none" w:color="auto"/>
          <w:lang w:val="en-US" w:eastAsia="zh-CN"/>
        </w:rPr>
        <w:t>2026</w:t>
      </w:r>
      <w:r>
        <w:rPr>
          <w:rFonts w:hint="eastAsia" w:ascii="方正楷体简体" w:hAnsi="方正楷体简体" w:eastAsia="方正楷体简体" w:cs="方正楷体简体"/>
          <w:b w:val="0"/>
          <w:bCs w:val="0"/>
          <w:sz w:val="24"/>
          <w:szCs w:val="24"/>
          <w:highlight w:val="none"/>
          <w:u w:val="none" w:color="auto"/>
        </w:rPr>
        <w:t>年</w:t>
      </w:r>
      <w:r>
        <w:rPr>
          <w:rFonts w:hint="eastAsia" w:ascii="方正楷体简体" w:hAnsi="方正楷体简体" w:eastAsia="方正楷体简体" w:cs="方正楷体简体"/>
          <w:b w:val="0"/>
          <w:bCs w:val="0"/>
          <w:sz w:val="24"/>
          <w:szCs w:val="24"/>
          <w:highlight w:val="none"/>
          <w:u w:val="none" w:color="auto"/>
          <w:lang w:val="en-US" w:eastAsia="zh-CN"/>
        </w:rPr>
        <w:t>8</w:t>
      </w:r>
      <w:r>
        <w:rPr>
          <w:rFonts w:hint="eastAsia" w:ascii="方正楷体简体" w:hAnsi="方正楷体简体" w:eastAsia="方正楷体简体" w:cs="方正楷体简体"/>
          <w:b w:val="0"/>
          <w:bCs w:val="0"/>
          <w:sz w:val="24"/>
          <w:szCs w:val="24"/>
          <w:highlight w:val="none"/>
          <w:u w:val="none" w:color="auto"/>
        </w:rPr>
        <w:t>月</w:t>
      </w:r>
      <w:r>
        <w:rPr>
          <w:rFonts w:hint="eastAsia" w:ascii="方正楷体简体" w:hAnsi="方正楷体简体" w:eastAsia="方正楷体简体" w:cs="方正楷体简体"/>
          <w:b w:val="0"/>
          <w:bCs w:val="0"/>
          <w:sz w:val="24"/>
          <w:szCs w:val="24"/>
          <w:highlight w:val="none"/>
          <w:u w:val="none" w:color="auto"/>
          <w:lang w:val="en-US" w:eastAsia="zh-CN"/>
        </w:rPr>
        <w:t>28</w:t>
      </w:r>
      <w:r>
        <w:rPr>
          <w:rFonts w:hint="eastAsia" w:ascii="方正楷体简体" w:hAnsi="方正楷体简体" w:eastAsia="方正楷体简体" w:cs="方正楷体简体"/>
          <w:b w:val="0"/>
          <w:bCs w:val="0"/>
          <w:sz w:val="24"/>
          <w:szCs w:val="24"/>
          <w:highlight w:val="none"/>
          <w:u w:val="none" w:color="auto"/>
          <w:lang w:eastAsia="zh-CN"/>
        </w:rPr>
        <w:t>日</w:t>
      </w:r>
    </w:p>
    <w:tbl>
      <w:tblPr>
        <w:tblStyle w:val="4"/>
        <w:tblW w:w="13566" w:type="dxa"/>
        <w:tblInd w:w="1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6"/>
        <w:gridCol w:w="3500"/>
        <w:gridCol w:w="2817"/>
        <w:gridCol w:w="6533"/>
      </w:tblGrid>
      <w:tr w14:paraId="28675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14:paraId="5970A27D">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3500" w:type="dxa"/>
            <w:tcBorders>
              <w:top w:val="single" w:color="000000" w:sz="4" w:space="0"/>
              <w:left w:val="single" w:color="000000" w:sz="4" w:space="0"/>
              <w:bottom w:val="single" w:color="000000" w:sz="4" w:space="0"/>
              <w:right w:val="single" w:color="000000" w:sz="4" w:space="0"/>
            </w:tcBorders>
            <w:noWrap w:val="0"/>
            <w:vAlign w:val="center"/>
          </w:tcPr>
          <w:p w14:paraId="15FD07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16B4B4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4F6E66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黑体简体" w:hAnsi="方正黑体简体" w:eastAsia="方正黑体简体" w:cs="方正黑体简体"/>
                <w:i w:val="0"/>
                <w:iCs w:val="0"/>
                <w:color w:val="000000"/>
                <w:sz w:val="24"/>
                <w:szCs w:val="24"/>
                <w:u w:val="none"/>
                <w:lang w:val="en-US"/>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r>
      <w:tr w14:paraId="5EC44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572236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35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FADCA2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一、关于贯彻落实习近平总书记重要讲话和重要指示批示精神、党中央重大决策部署的整改</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57CE8A5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理论学习</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4B47F7A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村党总支书记和第一书记每个季度带领村委班子和全体党员，依据党的二十大及二十届二中、三中全会精神，习近平总书记考察云南时重要讲话精神和关于</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三农</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工作重要论述，结合云山村实际情况，制定年度学习计划。村党总支书记张文清和第一书记张佳每个季度带领村委班子和全体党员，学习党的二十大及二十届二中、三中全会精神，</w:t>
            </w:r>
          </w:p>
        </w:tc>
      </w:tr>
      <w:tr w14:paraId="522E4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3E0614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6B9BC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1651761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严格</w:t>
            </w:r>
            <w:r>
              <w:rPr>
                <w:rFonts w:hint="eastAsia" w:ascii="Times New Roman" w:hAnsi="Times New Roman" w:eastAsia="方正仿宋简体" w:cs="Times New Roman"/>
                <w:i w:val="0"/>
                <w:iCs w:val="0"/>
                <w:color w:val="000000"/>
                <w:kern w:val="0"/>
                <w:sz w:val="24"/>
                <w:szCs w:val="24"/>
                <w:u w:val="none"/>
                <w:lang w:val="en-US" w:eastAsia="zh-CN" w:bidi="ar"/>
              </w:rPr>
              <w:t>执行</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四议两公开</w:t>
            </w:r>
            <w:r>
              <w:rPr>
                <w:rFonts w:hint="eastAsia" w:eastAsia="方正仿宋简体" w:cs="Times New Roman"/>
                <w:i w:val="0"/>
                <w:iCs w:val="0"/>
                <w:color w:val="000000"/>
                <w:kern w:val="0"/>
                <w:sz w:val="24"/>
                <w:szCs w:val="24"/>
                <w:u w:val="none"/>
                <w:lang w:val="en-US" w:eastAsia="zh-CN" w:bidi="ar"/>
              </w:rPr>
              <w:t>”严守</w:t>
            </w:r>
            <w:r>
              <w:rPr>
                <w:rFonts w:hint="eastAsia" w:ascii="Times New Roman" w:hAnsi="Times New Roman" w:eastAsia="方正仿宋简体" w:cs="Times New Roman"/>
                <w:i w:val="0"/>
                <w:iCs w:val="0"/>
                <w:color w:val="000000"/>
                <w:kern w:val="0"/>
                <w:sz w:val="24"/>
                <w:szCs w:val="24"/>
                <w:u w:val="none"/>
                <w:lang w:val="en-US" w:eastAsia="zh-CN" w:bidi="ar"/>
              </w:rPr>
              <w:t>议事程序</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5456C76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召集支部委员、村两委班子、全村所有党员、全村所有村民代表，逐级公布之前所开支的各项资金，并严格要求之后所开支的各项费用都要严格按《四仪两公开》程序办理。</w:t>
            </w:r>
          </w:p>
        </w:tc>
      </w:tr>
      <w:tr w14:paraId="5E849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200CBF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AC0AAC">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vMerge w:val="restart"/>
            <w:tcBorders>
              <w:top w:val="single" w:color="000000" w:sz="4" w:space="0"/>
              <w:left w:val="single" w:color="000000" w:sz="4" w:space="0"/>
              <w:bottom w:val="single" w:color="000000" w:sz="4" w:space="0"/>
              <w:right w:val="single" w:color="000000" w:sz="4" w:space="0"/>
            </w:tcBorders>
            <w:noWrap w:val="0"/>
            <w:vAlign w:val="center"/>
          </w:tcPr>
          <w:p w14:paraId="0C8D92D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水费监管</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7EC9FE4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召集17个小组管水员，制定水费收缴制度，由村监督委主任督促水费收缴工作。</w:t>
            </w:r>
          </w:p>
        </w:tc>
      </w:tr>
      <w:tr w14:paraId="26D3D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7F2897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1E4E75">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CB313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5C66C99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由村监督委主任督促管水员，收取的水费存入乡级会计委托中心后，按正常程序报账。规范水费资金使用与管理。</w:t>
            </w:r>
          </w:p>
        </w:tc>
      </w:tr>
      <w:tr w14:paraId="5F853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5F5870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6C769B">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1556D1C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强化</w:t>
            </w:r>
            <w:r>
              <w:rPr>
                <w:rFonts w:hint="eastAsia" w:ascii="Times New Roman" w:hAnsi="Times New Roman" w:eastAsia="方正仿宋简体" w:cs="Times New Roman"/>
                <w:i w:val="0"/>
                <w:iCs w:val="0"/>
                <w:color w:val="000000"/>
                <w:kern w:val="0"/>
                <w:sz w:val="24"/>
                <w:szCs w:val="24"/>
                <w:u w:val="none"/>
                <w:lang w:val="en-US" w:eastAsia="zh-CN" w:bidi="ar"/>
              </w:rPr>
              <w:t>民生保障服务</w:t>
            </w:r>
            <w:r>
              <w:rPr>
                <w:rFonts w:hint="eastAsia" w:eastAsia="方正仿宋简体" w:cs="Times New Roman"/>
                <w:i w:val="0"/>
                <w:iCs w:val="0"/>
                <w:color w:val="000000"/>
                <w:kern w:val="0"/>
                <w:sz w:val="24"/>
                <w:szCs w:val="24"/>
                <w:u w:val="none"/>
                <w:lang w:val="en-US" w:eastAsia="zh-CN" w:bidi="ar"/>
              </w:rPr>
              <w:t>能力</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426AFAA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制定详细核查计划：结合云山村实际情况，明确核查周期、内容、方式及责任分工。严格按照政策要求，对ABC三类低保家庭分别执行半年或年度动态核查，确保做到</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应保尽保、应退尽退</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。召开村两委会议后，安排村委委员李红艳和村务监督委员会委员杨解龙，进行了全村所有低保户入户核实工作。</w:t>
            </w:r>
          </w:p>
        </w:tc>
      </w:tr>
      <w:tr w14:paraId="6FAD9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7"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35A890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B2394">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1C7F8B1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落实</w:t>
            </w:r>
            <w:r>
              <w:rPr>
                <w:rFonts w:hint="eastAsia" w:ascii="Times New Roman" w:hAnsi="Times New Roman" w:eastAsia="方正仿宋简体" w:cs="Times New Roman"/>
                <w:i w:val="0"/>
                <w:iCs w:val="0"/>
                <w:color w:val="000000"/>
                <w:kern w:val="0"/>
                <w:sz w:val="24"/>
                <w:szCs w:val="24"/>
                <w:u w:val="none"/>
                <w:lang w:val="en-US" w:eastAsia="zh-CN" w:bidi="ar"/>
              </w:rPr>
              <w:t>公岗责任</w:t>
            </w:r>
            <w:r>
              <w:rPr>
                <w:rFonts w:hint="eastAsia" w:eastAsia="方正仿宋简体" w:cs="Times New Roman"/>
                <w:i w:val="0"/>
                <w:iCs w:val="0"/>
                <w:color w:val="000000"/>
                <w:kern w:val="0"/>
                <w:sz w:val="24"/>
                <w:szCs w:val="24"/>
                <w:u w:val="none"/>
                <w:lang w:val="en-US" w:eastAsia="zh-CN" w:bidi="ar"/>
              </w:rPr>
              <w:t>主体</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5C9702A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构建了清晰的公岗责任体系，明确公岗岗位职责与范围：针对人居环境治理相关公岗，细化每个公岗的具体职责，划定每个公岗的责任区域，建立层级责任传导机制：形成村</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两委—公岗管理员—公岗人员</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的三级责任传导链条。村党支部书记为第一责任人，对全村公岗管理及人居环境治理负总责，副主任李扎药召集全村所有公岗人员，培训公岗职责，并进行不定期督查。</w:t>
            </w:r>
          </w:p>
        </w:tc>
      </w:tr>
      <w:tr w14:paraId="125F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1"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5593AA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6995F9">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7E8A9E9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加大</w:t>
            </w:r>
            <w:r>
              <w:rPr>
                <w:rFonts w:hint="eastAsia" w:ascii="Times New Roman" w:hAnsi="Times New Roman" w:eastAsia="方正仿宋简体" w:cs="Times New Roman"/>
                <w:i w:val="0"/>
                <w:iCs w:val="0"/>
                <w:color w:val="000000"/>
                <w:kern w:val="0"/>
                <w:sz w:val="24"/>
                <w:szCs w:val="24"/>
                <w:u w:val="none"/>
                <w:lang w:val="en-US" w:eastAsia="zh-CN" w:bidi="ar"/>
              </w:rPr>
              <w:t>对辖区出行安全</w:t>
            </w:r>
            <w:r>
              <w:rPr>
                <w:rFonts w:hint="eastAsia" w:eastAsia="方正仿宋简体" w:cs="Times New Roman"/>
                <w:i w:val="0"/>
                <w:iCs w:val="0"/>
                <w:color w:val="000000"/>
                <w:kern w:val="0"/>
                <w:sz w:val="24"/>
                <w:szCs w:val="24"/>
                <w:u w:val="none"/>
                <w:lang w:val="en-US" w:eastAsia="zh-CN" w:bidi="ar"/>
              </w:rPr>
              <w:t>排查</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24BB552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分类推进整改，紧急修复损毁道路：对台账中记录的</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进组/组内损毁道路</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，优先处理影响通行安全的坑洼、裂缝、坍塌路段。短期内可协调村组人力、机械，使用砂石、水泥等材料进行临时修补；对损毁严重的路段，制定专项修复计划。</w:t>
            </w:r>
            <w:r>
              <w:rPr>
                <w:rFonts w:hint="default" w:ascii="Times New Roman" w:hAnsi="Times New Roman" w:eastAsia="方正仿宋简体" w:cs="Times New Roman"/>
                <w:i w:val="0"/>
                <w:iCs w:val="0"/>
                <w:color w:val="000000"/>
                <w:kern w:val="0"/>
                <w:sz w:val="24"/>
                <w:szCs w:val="24"/>
                <w:u w:val="none"/>
                <w:lang w:val="en-US" w:eastAsia="zh-CN" w:bidi="ar"/>
              </w:rPr>
              <w:t>组织村</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、村民小组长召开出行安全专题部署会，盘活集体资金，保障管护投入分类推进整改。</w:t>
            </w:r>
            <w:r>
              <w:rPr>
                <w:rFonts w:hint="eastAsia" w:ascii="Times New Roman" w:hAnsi="Times New Roman" w:eastAsia="方正仿宋简体" w:cs="Times New Roman"/>
                <w:i w:val="0"/>
                <w:iCs w:val="0"/>
                <w:color w:val="000000"/>
                <w:kern w:val="0"/>
                <w:sz w:val="24"/>
                <w:szCs w:val="24"/>
                <w:u w:val="none"/>
                <w:lang w:val="en-US" w:eastAsia="zh-CN" w:bidi="ar"/>
              </w:rPr>
              <w:t>排查维护照明设施：对辖区内路灯进行全面检修，更换损坏的灯泡、线路，对无路灯的偏远路段，根据村民需求逐步增设，确保夜间出行照明覆盖。</w:t>
            </w:r>
          </w:p>
        </w:tc>
      </w:tr>
      <w:tr w14:paraId="01E7A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11E93F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380D85">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62B64C5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党员教育管理</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44185A6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已开展专题警示教育，以该酒驾受处分案例为反面教材，组织全体党员召开专题警示教育会，邀请</w:t>
            </w:r>
            <w:r>
              <w:rPr>
                <w:rFonts w:hint="eastAsia" w:eastAsia="方正仿宋简体" w:cs="Times New Roman"/>
                <w:i w:val="0"/>
                <w:iCs w:val="0"/>
                <w:color w:val="000000"/>
                <w:kern w:val="0"/>
                <w:sz w:val="24"/>
                <w:szCs w:val="24"/>
                <w:u w:val="none"/>
                <w:lang w:val="en-US" w:eastAsia="zh-CN" w:bidi="ar"/>
              </w:rPr>
              <w:t>乡</w:t>
            </w:r>
            <w:r>
              <w:rPr>
                <w:rFonts w:hint="eastAsia" w:ascii="Times New Roman" w:hAnsi="Times New Roman" w:eastAsia="方正仿宋简体" w:cs="Times New Roman"/>
                <w:i w:val="0"/>
                <w:iCs w:val="0"/>
                <w:color w:val="000000"/>
                <w:kern w:val="0"/>
                <w:sz w:val="24"/>
                <w:szCs w:val="24"/>
                <w:u w:val="none"/>
                <w:lang w:val="en-US" w:eastAsia="zh-CN" w:bidi="ar"/>
              </w:rPr>
              <w:t>纪委工作人员解读《中国共产党纪律处分条例》中关于酒驾、醉驾的相关规定，结合近年本地党员违纪违法案例，剖析酒驾的法律后果、党纪责任及对个人、家庭的危害，确保每名党员深刻汲取教训。</w:t>
            </w:r>
          </w:p>
        </w:tc>
      </w:tr>
      <w:tr w14:paraId="379CD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630BDF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3500" w:type="dxa"/>
            <w:vMerge w:val="restart"/>
            <w:tcBorders>
              <w:top w:val="single" w:color="000000" w:sz="4" w:space="0"/>
              <w:left w:val="single" w:color="000000" w:sz="4" w:space="0"/>
              <w:bottom w:val="single" w:color="000000" w:sz="4" w:space="0"/>
              <w:right w:val="single" w:color="000000" w:sz="4" w:space="0"/>
            </w:tcBorders>
            <w:noWrap w:val="0"/>
            <w:vAlign w:val="center"/>
          </w:tcPr>
          <w:p w14:paraId="3B4B20B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二、关于贯彻落实全面从严治党战略部署情况</w:t>
            </w: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3A78752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三资</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管理</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0EC7FBB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云山村三七酒厂资产处于闲置状态一事，于2025年9月30日与云南地道酒业有限公司签订了合作协议。</w:t>
            </w:r>
          </w:p>
        </w:tc>
      </w:tr>
      <w:tr w14:paraId="4CED1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6"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02764C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554DC">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7612249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强化</w:t>
            </w:r>
            <w:r>
              <w:rPr>
                <w:rFonts w:hint="eastAsia" w:ascii="Times New Roman" w:hAnsi="Times New Roman" w:eastAsia="方正仿宋简体" w:cs="Times New Roman"/>
                <w:i w:val="0"/>
                <w:iCs w:val="0"/>
                <w:color w:val="000000"/>
                <w:kern w:val="0"/>
                <w:sz w:val="24"/>
                <w:szCs w:val="24"/>
                <w:u w:val="none"/>
                <w:lang w:val="en-US" w:eastAsia="zh-CN" w:bidi="ar"/>
              </w:rPr>
              <w:t>工作作风</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2B5C339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严肃纠治现存问题。全面核查整改：立即对该干部涉及的报账材料进行专项核查，确认重复使用签到册的报账事项、金额及时间范围，要求其限期重新补充真实、合规的报账佐证材料（如对应会议的原始签到记录、会议照片、费用明细等），经村</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复核无误后重新走报账流程；对核查中发现的其他不合规报账材料，同步整改，杜绝</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敷衍式</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报账。严肃批评教育：由村党支部书记对该干部进行单独约谈</w:t>
            </w:r>
            <w:r>
              <w:rPr>
                <w:rFonts w:hint="eastAsia" w:eastAsia="方正仿宋简体" w:cs="Times New Roman"/>
                <w:i w:val="0"/>
                <w:iCs w:val="0"/>
                <w:color w:val="000000"/>
                <w:kern w:val="0"/>
                <w:sz w:val="24"/>
                <w:szCs w:val="24"/>
                <w:u w:val="none"/>
                <w:lang w:val="en-US" w:eastAsia="zh-CN" w:bidi="ar"/>
              </w:rPr>
              <w:t>。</w:t>
            </w:r>
          </w:p>
        </w:tc>
      </w:tr>
      <w:tr w14:paraId="24F8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74EF07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3500" w:type="dxa"/>
            <w:vMerge w:val="restart"/>
            <w:tcBorders>
              <w:top w:val="single" w:color="000000" w:sz="4" w:space="0"/>
              <w:left w:val="single" w:color="000000" w:sz="4" w:space="0"/>
              <w:bottom w:val="single" w:color="000000" w:sz="4" w:space="0"/>
              <w:right w:val="single" w:color="000000" w:sz="4" w:space="0"/>
            </w:tcBorders>
            <w:noWrap w:val="0"/>
            <w:vAlign w:val="center"/>
          </w:tcPr>
          <w:p w14:paraId="3016449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三、关于贯彻落实新时代党的组织路线情况的整改</w:t>
            </w:r>
          </w:p>
        </w:tc>
        <w:tc>
          <w:tcPr>
            <w:tcW w:w="2817" w:type="dxa"/>
            <w:tcBorders>
              <w:top w:val="single" w:color="000000" w:sz="4" w:space="0"/>
              <w:left w:val="single" w:color="000000" w:sz="4" w:space="0"/>
              <w:bottom w:val="single" w:color="000000" w:sz="4" w:space="0"/>
              <w:right w:val="single" w:color="000000" w:sz="4" w:space="0"/>
            </w:tcBorders>
            <w:noWrap/>
            <w:vAlign w:val="center"/>
          </w:tcPr>
          <w:p w14:paraId="0E55D09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村级党组织建设</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2931D92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云山村复兴二组党支部相关责任人进行培训党务相关知识，解决</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不会干</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难题。</w:t>
            </w:r>
          </w:p>
        </w:tc>
      </w:tr>
      <w:tr w14:paraId="4C1F0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65B519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13E8B1">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307AE22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落实</w:t>
            </w:r>
            <w:r>
              <w:rPr>
                <w:rFonts w:hint="eastAsia" w:ascii="Times New Roman" w:hAnsi="Times New Roman" w:eastAsia="方正仿宋简体" w:cs="Times New Roman"/>
                <w:i w:val="0"/>
                <w:iCs w:val="0"/>
                <w:color w:val="000000"/>
                <w:kern w:val="0"/>
                <w:sz w:val="24"/>
                <w:szCs w:val="24"/>
                <w:u w:val="none"/>
                <w:lang w:val="en-US" w:eastAsia="zh-CN" w:bidi="ar"/>
              </w:rPr>
              <w:t>党建工作责任</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0559421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一是开展专项核查，对云山村党总支下设</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hint="eastAsia" w:ascii="Times New Roman" w:hAnsi="Times New Roman" w:eastAsia="方正仿宋简体" w:cs="Times New Roman"/>
                <w:i w:val="0"/>
                <w:iCs w:val="0"/>
                <w:color w:val="000000"/>
                <w:kern w:val="0"/>
                <w:sz w:val="24"/>
                <w:szCs w:val="24"/>
                <w:u w:val="none"/>
                <w:lang w:val="en-US" w:eastAsia="zh-CN" w:bidi="ar"/>
              </w:rPr>
              <w:t>个党支部</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hint="eastAsia" w:ascii="Times New Roman" w:hAnsi="Times New Roman" w:eastAsia="方正仿宋简体" w:cs="Times New Roman"/>
                <w:i w:val="0"/>
                <w:iCs w:val="0"/>
                <w:color w:val="000000"/>
                <w:kern w:val="0"/>
                <w:sz w:val="24"/>
                <w:szCs w:val="24"/>
                <w:u w:val="none"/>
                <w:lang w:val="en-US" w:eastAsia="zh-CN" w:bidi="ar"/>
              </w:rPr>
              <w:t>年以来</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三会一课</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、主题党日开展情况进行全面核查，重点核实云岭先锋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Times New Roman" w:hAnsi="Times New Roman" w:eastAsia="方正仿宋简体" w:cs="Times New Roman"/>
                <w:i w:val="0"/>
                <w:iCs w:val="0"/>
                <w:color w:val="000000"/>
                <w:kern w:val="0"/>
                <w:sz w:val="24"/>
                <w:szCs w:val="24"/>
                <w:u w:val="none"/>
                <w:lang w:val="en-US" w:eastAsia="zh-CN" w:bidi="ar"/>
              </w:rPr>
              <w:t>录入内容与实际活动的一致性，统计未合规开展的活动次数、编造材料的具体支部及责任人。二是全面清理虚假记录：立即组织云山村党总支对云岭先锋</w:t>
            </w:r>
            <w:r>
              <w:rPr>
                <w:rFonts w:hint="default" w:ascii="Times New Roman" w:hAnsi="Times New Roman" w:eastAsia="方正仿宋简体" w:cs="Times New Roman"/>
                <w:i w:val="0"/>
                <w:iCs w:val="0"/>
                <w:color w:val="000000"/>
                <w:kern w:val="0"/>
                <w:sz w:val="24"/>
                <w:szCs w:val="24"/>
                <w:u w:val="none"/>
                <w:lang w:val="en-US" w:eastAsia="zh-CN" w:bidi="ar"/>
              </w:rPr>
              <w:t>APP</w:t>
            </w:r>
            <w:r>
              <w:rPr>
                <w:rFonts w:hint="eastAsia" w:ascii="Times New Roman" w:hAnsi="Times New Roman" w:eastAsia="方正仿宋简体" w:cs="Times New Roman"/>
                <w:i w:val="0"/>
                <w:iCs w:val="0"/>
                <w:color w:val="000000"/>
                <w:kern w:val="0"/>
                <w:sz w:val="24"/>
                <w:szCs w:val="24"/>
                <w:u w:val="none"/>
                <w:lang w:val="en-US" w:eastAsia="zh-CN" w:bidi="ar"/>
              </w:rPr>
              <w:t>内编造的组织生活记录进行删除，按</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缺什么补什么</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原则，明确各党支部需补开的</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三会一课</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、主题党日次数及时限，补开活动需严格遵循流程，留存真实签到记录、现场照片、会议纪要，由专项核查组复核通过后重新录入平台。三是已开展党建业务</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补课</w:t>
            </w:r>
            <w:r>
              <w:rPr>
                <w:rFonts w:hint="eastAsia" w:eastAsia="方正仿宋简体" w:cs="Times New Roman"/>
                <w:i w:val="0"/>
                <w:iCs w:val="0"/>
                <w:color w:val="000000"/>
                <w:kern w:val="0"/>
                <w:sz w:val="24"/>
                <w:szCs w:val="24"/>
                <w:u w:val="none"/>
                <w:lang w:val="en-US" w:eastAsia="zh-CN" w:bidi="ar"/>
              </w:rPr>
              <w:t>”</w:t>
            </w:r>
            <w:r>
              <w:rPr>
                <w:rFonts w:hint="eastAsia" w:ascii="Times New Roman" w:hAnsi="Times New Roman" w:eastAsia="方正仿宋简体" w:cs="Times New Roman"/>
                <w:i w:val="0"/>
                <w:iCs w:val="0"/>
                <w:color w:val="000000"/>
                <w:kern w:val="0"/>
                <w:sz w:val="24"/>
                <w:szCs w:val="24"/>
                <w:u w:val="none"/>
                <w:lang w:val="en-US" w:eastAsia="zh-CN" w:bidi="ar"/>
              </w:rPr>
              <w:t>培训。</w:t>
            </w:r>
          </w:p>
        </w:tc>
      </w:tr>
      <w:tr w14:paraId="3D820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8"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14:paraId="525BF8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35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5B7F8">
            <w:pPr>
              <w:keepNext w:val="0"/>
              <w:keepLines w:val="0"/>
              <w:pageBreakBefore w:val="0"/>
              <w:widowControl/>
              <w:kinsoku/>
              <w:wordWrap/>
              <w:overflowPunct/>
              <w:topLinePunct w:val="0"/>
              <w:autoSpaceDE/>
              <w:autoSpaceDN/>
              <w:bidi w:val="0"/>
              <w:adjustRightInd/>
              <w:snapToGrid/>
              <w:spacing w:line="320" w:lineRule="exact"/>
              <w:jc w:val="both"/>
              <w:rPr>
                <w:rFonts w:hint="eastAsia" w:ascii="方正黑体简体" w:hAnsi="方正黑体简体" w:eastAsia="方正黑体简体" w:cs="方正黑体简体"/>
                <w:i w:val="0"/>
                <w:iCs w:val="0"/>
                <w:color w:val="000000"/>
                <w:sz w:val="24"/>
                <w:szCs w:val="24"/>
                <w:u w:val="none"/>
              </w:rPr>
            </w:pPr>
          </w:p>
        </w:tc>
        <w:tc>
          <w:tcPr>
            <w:tcW w:w="2817" w:type="dxa"/>
            <w:tcBorders>
              <w:top w:val="single" w:color="000000" w:sz="4" w:space="0"/>
              <w:left w:val="single" w:color="000000" w:sz="4" w:space="0"/>
              <w:bottom w:val="single" w:color="000000" w:sz="4" w:space="0"/>
              <w:right w:val="single" w:color="000000" w:sz="4" w:space="0"/>
            </w:tcBorders>
            <w:noWrap w:val="0"/>
            <w:vAlign w:val="center"/>
          </w:tcPr>
          <w:p w14:paraId="6F7F82F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eastAsia="方正仿宋简体" w:cs="Times New Roman"/>
                <w:i w:val="0"/>
                <w:iCs w:val="0"/>
                <w:color w:val="000000"/>
                <w:kern w:val="0"/>
                <w:sz w:val="24"/>
                <w:szCs w:val="24"/>
                <w:u w:val="none"/>
                <w:lang w:val="en-US" w:eastAsia="zh-CN" w:bidi="ar"/>
              </w:rPr>
              <w:t>加强</w:t>
            </w:r>
            <w:r>
              <w:rPr>
                <w:rFonts w:hint="eastAsia" w:ascii="Times New Roman" w:hAnsi="Times New Roman" w:eastAsia="方正仿宋简体" w:cs="Times New Roman"/>
                <w:i w:val="0"/>
                <w:iCs w:val="0"/>
                <w:color w:val="000000"/>
                <w:kern w:val="0"/>
                <w:sz w:val="24"/>
                <w:szCs w:val="24"/>
                <w:u w:val="none"/>
                <w:lang w:val="en-US" w:eastAsia="zh-CN" w:bidi="ar"/>
              </w:rPr>
              <w:t>党费收缴</w:t>
            </w:r>
            <w:r>
              <w:rPr>
                <w:rFonts w:hint="eastAsia" w:eastAsia="方正仿宋简体" w:cs="Times New Roman"/>
                <w:i w:val="0"/>
                <w:iCs w:val="0"/>
                <w:color w:val="000000"/>
                <w:kern w:val="0"/>
                <w:sz w:val="24"/>
                <w:szCs w:val="24"/>
                <w:u w:val="none"/>
                <w:lang w:val="en-US" w:eastAsia="zh-CN" w:bidi="ar"/>
              </w:rPr>
              <w:t>管理</w:t>
            </w:r>
          </w:p>
        </w:tc>
        <w:tc>
          <w:tcPr>
            <w:tcW w:w="6533" w:type="dxa"/>
            <w:tcBorders>
              <w:top w:val="single" w:color="000000" w:sz="4" w:space="0"/>
              <w:left w:val="single" w:color="000000" w:sz="4" w:space="0"/>
              <w:bottom w:val="single" w:color="000000" w:sz="4" w:space="0"/>
              <w:right w:val="single" w:color="000000" w:sz="4" w:space="0"/>
            </w:tcBorders>
            <w:noWrap w:val="0"/>
            <w:vAlign w:val="center"/>
          </w:tcPr>
          <w:p w14:paraId="73885BB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Times New Roman" w:hAnsi="Times New Roman" w:eastAsia="方正仿宋简体" w:cs="Times New Roman"/>
                <w:i w:val="0"/>
                <w:iCs w:val="0"/>
                <w:color w:val="000000"/>
                <w:kern w:val="0"/>
                <w:sz w:val="24"/>
                <w:szCs w:val="24"/>
                <w:u w:val="none"/>
                <w:lang w:val="en-US" w:eastAsia="zh-CN" w:bidi="ar"/>
              </w:rPr>
              <w:t>已召集各支部书记开会，划定统一收缴周期，不定期督促未完成收缴的支部加快进度，避免逾期。</w:t>
            </w:r>
          </w:p>
        </w:tc>
      </w:tr>
    </w:tbl>
    <w:p w14:paraId="04AE0231">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eastAsia" w:eastAsia="方正黑体简体" w:cs="方正黑体简体"/>
          <w:sz w:val="34"/>
          <w:szCs w:val="44"/>
          <w:highlight w:val="none"/>
          <w:u w:val="none" w:color="auto"/>
          <w:lang w:val="en-US" w:eastAsia="zh-CN"/>
        </w:rPr>
      </w:pPr>
    </w:p>
    <w:p w14:paraId="00890A11">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eastAsia" w:eastAsia="方正黑体简体" w:cs="方正黑体简体"/>
          <w:sz w:val="34"/>
          <w:szCs w:val="44"/>
          <w:highlight w:val="none"/>
          <w:u w:val="none" w:color="auto"/>
          <w:lang w:val="en-US" w:eastAsia="zh-CN"/>
        </w:rPr>
      </w:pPr>
    </w:p>
    <w:p w14:paraId="3BB94732">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简体">
    <w:altName w:val="微软雅黑"/>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script"/>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E64C93"/>
    <w:rsid w:val="4CE64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Indent 2"/>
    <w:qFormat/>
    <w:uiPriority w:val="0"/>
    <w:pPr>
      <w:widowControl w:val="0"/>
      <w:spacing w:after="120" w:afterLines="0" w:afterAutospacing="0" w:line="480" w:lineRule="auto"/>
      <w:ind w:left="42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2026-09-03T07:29:00Z</dcterms:created>
  <dc:creator>在水一方</dc:creator>
  <cp:lastModifiedBy>在水一方</cp:lastModifiedBy>
  <dcterms:modified xsi:type="dcterms:W3CDTF">2026-09-03T07:30:03Z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DB344D4F8FBF465D83FDF81C3E6DA456_11</vt:lpwstr>
  </property>
  <property fmtid="{D5CDD505-2E9C-101B-9397-08002B2CF9AE}" pid="4" name="KSOTemplateDocerSaveRecord">
    <vt:lpwstr>eyJoZGlkIjoiZjVkZGY1M2E5OTE3ZDk1MzRmZjIzNDNkMTIxMTcxYmIiLCJ1c2VySWQiOiI0NjM0MDM3NDMifQ==</vt:lpwstr>
  </property>
</Properties>
</file>