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0380A">
      <w:pPr>
        <w:spacing w:before="48" w:line="238" w:lineRule="auto"/>
        <w:rPr>
          <w:rFonts w:hint="eastAsia" w:ascii="Times New Roman" w:hAnsi="Times New Roman" w:eastAsia="方正黑体简体" w:cs="Times New Roman"/>
          <w:sz w:val="21"/>
          <w:szCs w:val="21"/>
          <w:lang w:val="en-US" w:eastAsia="zh-CN"/>
        </w:rPr>
      </w:pPr>
      <w:r>
        <w:rPr>
          <w:rFonts w:ascii="方正黑体简体" w:hAnsi="方正黑体简体" w:eastAsia="方正黑体简体" w:cs="方正黑体简体"/>
          <w:spacing w:val="1"/>
          <w:sz w:val="21"/>
          <w:szCs w:val="21"/>
        </w:rPr>
        <w:t>附件</w:t>
      </w:r>
      <w:r>
        <w:rPr>
          <w:rFonts w:hint="default" w:ascii="Times New Roman" w:hAnsi="Times New Roman" w:eastAsia="方正黑体简体" w:cs="Times New Roman"/>
          <w:spacing w:val="1"/>
          <w:sz w:val="21"/>
          <w:szCs w:val="21"/>
          <w:lang w:val="en-US" w:eastAsia="zh-CN"/>
        </w:rPr>
        <w:t>2</w:t>
      </w:r>
    </w:p>
    <w:p w14:paraId="5FDE0529">
      <w:pPr>
        <w:spacing w:before="41" w:line="212" w:lineRule="auto"/>
        <w:ind w:left="1430"/>
        <w:outlineLvl w:val="0"/>
        <w:rPr>
          <w:rFonts w:ascii="方正小标宋简体" w:hAnsi="方正小标宋简体" w:eastAsia="方正小标宋简体" w:cs="方正小标宋简体"/>
          <w:sz w:val="29"/>
          <w:szCs w:val="29"/>
        </w:rPr>
      </w:pPr>
      <w:r>
        <w:rPr>
          <w:rFonts w:ascii="方正小标宋简体" w:hAnsi="方正小标宋简体" w:eastAsia="方正小标宋简体" w:cs="方正小标宋简体"/>
          <w:spacing w:val="8"/>
          <w:sz w:val="29"/>
          <w:szCs w:val="29"/>
        </w:rPr>
        <w:t>十三届县委第八轮巡察税房村反馈问题社会公开台账</w:t>
      </w:r>
    </w:p>
    <w:p w14:paraId="431AF8AF">
      <w:pPr>
        <w:spacing w:before="123" w:line="236" w:lineRule="auto"/>
        <w:ind w:left="404"/>
        <w:rPr>
          <w:rFonts w:hint="default" w:ascii="Times New Roman" w:hAnsi="Times New Roman" w:eastAsia="方正楷体简体" w:cs="Times New Roman"/>
          <w:sz w:val="17"/>
          <w:szCs w:val="17"/>
          <w:lang w:val="en-US" w:eastAsia="zh-CN"/>
        </w:rPr>
      </w:pPr>
      <w:r>
        <w:rPr>
          <w:rFonts w:hint="default" w:ascii="Times New Roman" w:hAnsi="Times New Roman" w:eastAsia="方正楷体简体" w:cs="Times New Roman"/>
          <w:spacing w:val="8"/>
          <w:sz w:val="17"/>
          <w:szCs w:val="17"/>
        </w:rPr>
        <w:t>填报单位（加盖公章</w:t>
      </w:r>
      <w:r>
        <w:rPr>
          <w:rFonts w:hint="default" w:ascii="Times New Roman" w:hAnsi="Times New Roman" w:eastAsia="方正楷体简体" w:cs="Times New Roman"/>
          <w:spacing w:val="12"/>
          <w:sz w:val="17"/>
          <w:szCs w:val="17"/>
        </w:rPr>
        <w:t>）：</w:t>
      </w:r>
      <w:r>
        <w:rPr>
          <w:rFonts w:hint="default" w:ascii="Times New Roman" w:hAnsi="Times New Roman" w:eastAsia="方正楷体简体" w:cs="Times New Roman"/>
          <w:spacing w:val="8"/>
          <w:sz w:val="17"/>
          <w:szCs w:val="17"/>
        </w:rPr>
        <w:t>中共酒井哈尼族乡委员会</w:t>
      </w:r>
      <w:r>
        <w:rPr>
          <w:rFonts w:hint="default" w:ascii="Times New Roman" w:hAnsi="Times New Roman" w:eastAsia="方正楷体简体" w:cs="Times New Roman"/>
          <w:sz w:val="17"/>
          <w:szCs w:val="17"/>
        </w:rPr>
        <w:t xml:space="preserve">   </w:t>
      </w:r>
      <w:r>
        <w:rPr>
          <w:rFonts w:hint="eastAsia" w:ascii="Times New Roman" w:hAnsi="Times New Roman" w:eastAsia="方正楷体简体" w:cs="Times New Roman"/>
          <w:sz w:val="17"/>
          <w:szCs w:val="17"/>
          <w:lang w:val="en-US" w:eastAsia="zh-CN"/>
        </w:rPr>
        <w:t xml:space="preserve"> </w:t>
      </w:r>
      <w:r>
        <w:rPr>
          <w:rFonts w:hint="default" w:ascii="Times New Roman" w:hAnsi="Times New Roman" w:eastAsia="方正楷体简体" w:cs="Times New Roman"/>
          <w:sz w:val="17"/>
          <w:szCs w:val="17"/>
        </w:rPr>
        <w:t xml:space="preserve">                         </w:t>
      </w:r>
      <w:r>
        <w:rPr>
          <w:rFonts w:hint="default" w:ascii="Times New Roman" w:hAnsi="Times New Roman" w:eastAsia="方正楷体简体" w:cs="Times New Roman"/>
          <w:spacing w:val="8"/>
          <w:sz w:val="17"/>
          <w:szCs w:val="17"/>
        </w:rPr>
        <w:t>填报日期：2026年</w:t>
      </w:r>
      <w:r>
        <w:rPr>
          <w:rFonts w:hint="default" w:ascii="Times New Roman" w:hAnsi="Times New Roman" w:eastAsia="方正楷体简体" w:cs="Times New Roman"/>
          <w:spacing w:val="7"/>
          <w:sz w:val="17"/>
          <w:szCs w:val="17"/>
        </w:rPr>
        <w:t>8月28</w:t>
      </w:r>
      <w:r>
        <w:rPr>
          <w:rFonts w:hint="default" w:ascii="Times New Roman" w:hAnsi="Times New Roman" w:eastAsia="方正楷体简体" w:cs="Times New Roman"/>
          <w:spacing w:val="7"/>
          <w:sz w:val="17"/>
          <w:szCs w:val="17"/>
          <w:lang w:val="en-US" w:eastAsia="zh-CN"/>
        </w:rPr>
        <w:t>日</w:t>
      </w:r>
    </w:p>
    <w:p w14:paraId="215F4929">
      <w:pPr>
        <w:spacing w:line="46" w:lineRule="exact"/>
      </w:pPr>
    </w:p>
    <w:tbl>
      <w:tblPr>
        <w:tblStyle w:val="4"/>
        <w:tblW w:w="95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"/>
        <w:gridCol w:w="1395"/>
        <w:gridCol w:w="1959"/>
        <w:gridCol w:w="4941"/>
        <w:gridCol w:w="929"/>
      </w:tblGrid>
      <w:tr w14:paraId="3BFB7B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365" w:type="dxa"/>
            <w:noWrap w:val="0"/>
            <w:textDirection w:val="tbRlV"/>
            <w:vAlign w:val="top"/>
          </w:tcPr>
          <w:p w14:paraId="4EE27C88">
            <w:pPr>
              <w:spacing w:before="78" w:line="215" w:lineRule="auto"/>
              <w:ind w:left="121"/>
              <w:rPr>
                <w:rFonts w:ascii="方正黑体简体" w:hAnsi="方正黑体简体" w:eastAsia="方正黑体简体" w:cs="方正黑体简体"/>
                <w:sz w:val="18"/>
                <w:szCs w:val="18"/>
              </w:rPr>
            </w:pPr>
            <w:r>
              <w:rPr>
                <w:rFonts w:ascii="方正黑体简体" w:hAnsi="方正黑体简体" w:eastAsia="方正黑体简体" w:cs="方正黑体简体"/>
                <w:spacing w:val="37"/>
                <w:sz w:val="18"/>
                <w:szCs w:val="18"/>
              </w:rPr>
              <w:t>序号</w:t>
            </w:r>
          </w:p>
        </w:tc>
        <w:tc>
          <w:tcPr>
            <w:tcW w:w="1395" w:type="dxa"/>
            <w:noWrap w:val="0"/>
            <w:vAlign w:val="top"/>
          </w:tcPr>
          <w:p w14:paraId="77EB5DD8">
            <w:pPr>
              <w:spacing w:before="231" w:line="241" w:lineRule="auto"/>
              <w:ind w:left="341"/>
              <w:rPr>
                <w:rFonts w:ascii="方正黑体简体" w:hAnsi="方正黑体简体" w:eastAsia="方正黑体简体" w:cs="方正黑体简体"/>
                <w:sz w:val="18"/>
                <w:szCs w:val="18"/>
              </w:rPr>
            </w:pPr>
            <w:r>
              <w:rPr>
                <w:rFonts w:ascii="方正黑体简体" w:hAnsi="方正黑体简体" w:eastAsia="方正黑体简体" w:cs="方正黑体简体"/>
                <w:spacing w:val="5"/>
                <w:sz w:val="18"/>
                <w:szCs w:val="18"/>
              </w:rPr>
              <w:t>问题分类</w:t>
            </w:r>
          </w:p>
        </w:tc>
        <w:tc>
          <w:tcPr>
            <w:tcW w:w="1959" w:type="dxa"/>
            <w:noWrap w:val="0"/>
            <w:vAlign w:val="top"/>
          </w:tcPr>
          <w:p w14:paraId="3767C2E7">
            <w:pPr>
              <w:spacing w:before="231" w:line="242" w:lineRule="auto"/>
              <w:ind w:left="612"/>
              <w:rPr>
                <w:rFonts w:ascii="方正黑体简体" w:hAnsi="方正黑体简体" w:eastAsia="方正黑体简体" w:cs="方正黑体简体"/>
                <w:sz w:val="18"/>
                <w:szCs w:val="18"/>
              </w:rPr>
            </w:pPr>
            <w:r>
              <w:rPr>
                <w:rFonts w:ascii="方正黑体简体" w:hAnsi="方正黑体简体" w:eastAsia="方正黑体简体" w:cs="方正黑体简体"/>
                <w:spacing w:val="7"/>
                <w:sz w:val="18"/>
                <w:szCs w:val="18"/>
              </w:rPr>
              <w:t>主要措施</w:t>
            </w:r>
          </w:p>
        </w:tc>
        <w:tc>
          <w:tcPr>
            <w:tcW w:w="4941" w:type="dxa"/>
            <w:noWrap w:val="0"/>
            <w:vAlign w:val="top"/>
          </w:tcPr>
          <w:p w14:paraId="794F93D8">
            <w:pPr>
              <w:spacing w:before="231" w:line="241" w:lineRule="auto"/>
              <w:ind w:left="1818"/>
              <w:rPr>
                <w:rFonts w:ascii="方正黑体简体" w:hAnsi="方正黑体简体" w:eastAsia="方正黑体简体" w:cs="方正黑体简体"/>
                <w:sz w:val="18"/>
                <w:szCs w:val="18"/>
              </w:rPr>
            </w:pPr>
            <w:r>
              <w:rPr>
                <w:rFonts w:ascii="方正黑体简体" w:hAnsi="方正黑体简体" w:eastAsia="方正黑体简体" w:cs="方正黑体简体"/>
                <w:spacing w:val="9"/>
                <w:sz w:val="18"/>
                <w:szCs w:val="18"/>
              </w:rPr>
              <w:t>整改工作及成效</w:t>
            </w:r>
          </w:p>
        </w:tc>
        <w:tc>
          <w:tcPr>
            <w:tcW w:w="929" w:type="dxa"/>
            <w:noWrap w:val="0"/>
            <w:vAlign w:val="top"/>
          </w:tcPr>
          <w:p w14:paraId="47D659BC">
            <w:pPr>
              <w:spacing w:before="231" w:line="265" w:lineRule="exact"/>
              <w:ind w:left="287"/>
              <w:rPr>
                <w:rFonts w:ascii="方正黑体简体" w:hAnsi="方正黑体简体" w:eastAsia="方正黑体简体" w:cs="方正黑体简体"/>
                <w:sz w:val="18"/>
                <w:szCs w:val="18"/>
              </w:rPr>
            </w:pPr>
            <w:r>
              <w:rPr>
                <w:rFonts w:ascii="方正黑体简体" w:hAnsi="方正黑体简体" w:eastAsia="方正黑体简体" w:cs="方正黑体简体"/>
                <w:spacing w:val="6"/>
                <w:position w:val="1"/>
                <w:sz w:val="18"/>
                <w:szCs w:val="18"/>
              </w:rPr>
              <w:t>备注</w:t>
            </w:r>
          </w:p>
        </w:tc>
      </w:tr>
      <w:tr w14:paraId="5158FF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6" w:hRule="atLeast"/>
        </w:trPr>
        <w:tc>
          <w:tcPr>
            <w:tcW w:w="365" w:type="dxa"/>
            <w:noWrap w:val="0"/>
            <w:vAlign w:val="top"/>
          </w:tcPr>
          <w:p w14:paraId="3ED39E82">
            <w:pPr>
              <w:spacing w:line="308" w:lineRule="auto"/>
              <w:rPr>
                <w:rFonts w:ascii="Arial"/>
                <w:sz w:val="21"/>
              </w:rPr>
            </w:pPr>
          </w:p>
          <w:p w14:paraId="23E0637D">
            <w:pPr>
              <w:spacing w:line="308" w:lineRule="auto"/>
              <w:rPr>
                <w:rFonts w:ascii="Arial"/>
                <w:sz w:val="21"/>
              </w:rPr>
            </w:pPr>
          </w:p>
          <w:p w14:paraId="236EA41E">
            <w:pPr>
              <w:spacing w:line="309" w:lineRule="auto"/>
              <w:rPr>
                <w:rFonts w:ascii="Arial"/>
                <w:sz w:val="21"/>
              </w:rPr>
            </w:pPr>
          </w:p>
          <w:p w14:paraId="14C6ED15">
            <w:pPr>
              <w:spacing w:before="46" w:line="191" w:lineRule="auto"/>
              <w:ind w:left="16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1395" w:type="dxa"/>
            <w:noWrap w:val="0"/>
            <w:vAlign w:val="top"/>
          </w:tcPr>
          <w:p w14:paraId="254BD25E">
            <w:pPr>
              <w:spacing w:line="297" w:lineRule="auto"/>
              <w:rPr>
                <w:rFonts w:ascii="Arial"/>
                <w:sz w:val="21"/>
              </w:rPr>
            </w:pPr>
          </w:p>
          <w:p w14:paraId="0A761677">
            <w:pPr>
              <w:spacing w:line="298" w:lineRule="auto"/>
              <w:rPr>
                <w:rFonts w:ascii="Arial"/>
                <w:sz w:val="21"/>
              </w:rPr>
            </w:pPr>
          </w:p>
          <w:p w14:paraId="367DC49D">
            <w:pPr>
              <w:pStyle w:val="5"/>
              <w:spacing w:before="58" w:line="202" w:lineRule="auto"/>
              <w:ind w:left="24" w:right="64" w:firstLine="9"/>
              <w:jc w:val="both"/>
            </w:pPr>
            <w:r>
              <w:t>一、关于巡察监督</w:t>
            </w:r>
            <w:r>
              <w:rPr>
                <w:spacing w:val="1"/>
              </w:rPr>
              <w:t>检查发现问题整改方面的整改进展情</w:t>
            </w:r>
            <w:r>
              <w:t>况</w:t>
            </w:r>
          </w:p>
        </w:tc>
        <w:tc>
          <w:tcPr>
            <w:tcW w:w="1959" w:type="dxa"/>
            <w:noWrap w:val="0"/>
            <w:vAlign w:val="top"/>
          </w:tcPr>
          <w:p w14:paraId="270DF1B9">
            <w:pPr>
              <w:spacing w:line="292" w:lineRule="auto"/>
              <w:rPr>
                <w:rFonts w:ascii="Arial"/>
                <w:sz w:val="21"/>
              </w:rPr>
            </w:pPr>
          </w:p>
          <w:p w14:paraId="6B944624">
            <w:pPr>
              <w:spacing w:line="293" w:lineRule="auto"/>
              <w:rPr>
                <w:rFonts w:ascii="Arial"/>
                <w:sz w:val="21"/>
              </w:rPr>
            </w:pPr>
          </w:p>
          <w:p w14:paraId="5A66F614">
            <w:pPr>
              <w:pStyle w:val="5"/>
              <w:spacing w:before="58" w:line="237" w:lineRule="auto"/>
              <w:ind w:left="27"/>
              <w:rPr>
                <w:spacing w:val="1"/>
              </w:rPr>
            </w:pPr>
          </w:p>
          <w:p w14:paraId="24C09A9C">
            <w:pPr>
              <w:pStyle w:val="5"/>
              <w:spacing w:before="58" w:line="237" w:lineRule="auto"/>
              <w:ind w:left="27"/>
            </w:pPr>
            <w:r>
              <w:rPr>
                <w:spacing w:val="1"/>
              </w:rPr>
              <w:t>抓实巡察问题整改。</w:t>
            </w:r>
          </w:p>
        </w:tc>
        <w:tc>
          <w:tcPr>
            <w:tcW w:w="4941" w:type="dxa"/>
            <w:noWrap w:val="0"/>
            <w:vAlign w:val="top"/>
          </w:tcPr>
          <w:p w14:paraId="3E768146">
            <w:pPr>
              <w:spacing w:line="243" w:lineRule="auto"/>
              <w:rPr>
                <w:rFonts w:ascii="Arial"/>
                <w:sz w:val="21"/>
              </w:rPr>
            </w:pPr>
          </w:p>
          <w:p w14:paraId="44CD7F58">
            <w:pPr>
              <w:spacing w:line="243" w:lineRule="auto"/>
              <w:rPr>
                <w:rFonts w:ascii="Arial"/>
                <w:sz w:val="21"/>
              </w:rPr>
            </w:pPr>
          </w:p>
          <w:p w14:paraId="5474642E">
            <w:pPr>
              <w:pStyle w:val="5"/>
              <w:spacing w:before="58" w:line="210" w:lineRule="auto"/>
              <w:ind w:left="25" w:firstLine="12"/>
              <w:jc w:val="both"/>
            </w:pPr>
            <w:r>
              <w:rPr>
                <w:spacing w:val="1"/>
              </w:rPr>
              <w:t>一是将整改工作深度融入日常，建立长效机制，定期回顾检查。二是强化党组织内部监督，把巡察整改落实情况作为监督重点</w:t>
            </w:r>
            <w:r>
              <w:t>，杜绝</w:t>
            </w:r>
            <w:r>
              <w:rPr>
                <w:rFonts w:ascii="Times New Roman" w:hAnsi="Times New Roman" w:eastAsia="Times New Roman" w:cs="Times New Roman"/>
              </w:rPr>
              <w:t>“</w:t>
            </w:r>
            <w:r>
              <w:t>过关</w:t>
            </w:r>
            <w:r>
              <w:rPr>
                <w:rFonts w:ascii="Times New Roman" w:hAnsi="Times New Roman" w:eastAsia="Times New Roman" w:cs="Times New Roman"/>
              </w:rPr>
              <w:t>”</w:t>
            </w:r>
            <w:r>
              <w:t>心态。三是开展举一反三自查，全面排查类似问题并整改，同时安排</w:t>
            </w:r>
            <w:r>
              <w:rPr>
                <w:spacing w:val="3"/>
              </w:rPr>
              <w:t>专人妥善保管整改资料。针对财务等问题，加强学习，严格执行上级</w:t>
            </w:r>
            <w:r>
              <w:rPr>
                <w:spacing w:val="1"/>
              </w:rPr>
              <w:t>财务规范及制度，加强培训，防止问题反复出现。</w:t>
            </w:r>
          </w:p>
        </w:tc>
        <w:tc>
          <w:tcPr>
            <w:tcW w:w="929" w:type="dxa"/>
            <w:noWrap w:val="0"/>
            <w:vAlign w:val="top"/>
          </w:tcPr>
          <w:p w14:paraId="3F525A46">
            <w:pPr>
              <w:rPr>
                <w:rFonts w:ascii="Arial"/>
                <w:sz w:val="21"/>
              </w:rPr>
            </w:pPr>
          </w:p>
        </w:tc>
      </w:tr>
      <w:tr w14:paraId="3D0B6C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7" w:hRule="atLeast"/>
        </w:trPr>
        <w:tc>
          <w:tcPr>
            <w:tcW w:w="365" w:type="dxa"/>
            <w:noWrap w:val="0"/>
            <w:vAlign w:val="top"/>
          </w:tcPr>
          <w:p w14:paraId="50DABCA7">
            <w:pPr>
              <w:spacing w:line="304" w:lineRule="auto"/>
              <w:rPr>
                <w:rFonts w:ascii="Arial"/>
                <w:sz w:val="21"/>
              </w:rPr>
            </w:pPr>
          </w:p>
          <w:p w14:paraId="5B5D66D5">
            <w:pPr>
              <w:spacing w:line="304" w:lineRule="auto"/>
              <w:rPr>
                <w:rFonts w:ascii="Arial"/>
                <w:sz w:val="21"/>
              </w:rPr>
            </w:pPr>
          </w:p>
          <w:p w14:paraId="25B47059">
            <w:pPr>
              <w:spacing w:line="305" w:lineRule="auto"/>
              <w:rPr>
                <w:rFonts w:ascii="Arial"/>
                <w:sz w:val="21"/>
              </w:rPr>
            </w:pPr>
          </w:p>
          <w:p w14:paraId="36EA24F2">
            <w:pPr>
              <w:spacing w:before="46" w:line="191" w:lineRule="auto"/>
              <w:ind w:left="1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1395" w:type="dxa"/>
            <w:vMerge w:val="restart"/>
            <w:tcBorders>
              <w:bottom w:val="nil"/>
            </w:tcBorders>
            <w:noWrap w:val="0"/>
            <w:vAlign w:val="top"/>
          </w:tcPr>
          <w:p w14:paraId="41662EC0">
            <w:pPr>
              <w:spacing w:line="248" w:lineRule="auto"/>
              <w:rPr>
                <w:rFonts w:ascii="Arial"/>
                <w:sz w:val="21"/>
              </w:rPr>
            </w:pPr>
          </w:p>
          <w:p w14:paraId="6B84BF54">
            <w:pPr>
              <w:spacing w:line="248" w:lineRule="auto"/>
              <w:rPr>
                <w:rFonts w:ascii="Arial"/>
                <w:sz w:val="21"/>
              </w:rPr>
            </w:pPr>
          </w:p>
          <w:p w14:paraId="3D953E11">
            <w:pPr>
              <w:spacing w:line="248" w:lineRule="auto"/>
              <w:rPr>
                <w:rFonts w:ascii="Arial"/>
                <w:sz w:val="21"/>
              </w:rPr>
            </w:pPr>
          </w:p>
          <w:p w14:paraId="077D8DBA">
            <w:pPr>
              <w:spacing w:line="248" w:lineRule="auto"/>
              <w:rPr>
                <w:rFonts w:ascii="Arial"/>
                <w:sz w:val="21"/>
              </w:rPr>
            </w:pPr>
          </w:p>
          <w:p w14:paraId="5FA7BFEF">
            <w:pPr>
              <w:spacing w:line="248" w:lineRule="auto"/>
              <w:rPr>
                <w:rFonts w:ascii="Arial"/>
                <w:sz w:val="21"/>
              </w:rPr>
            </w:pPr>
          </w:p>
          <w:p w14:paraId="154A9CD6">
            <w:pPr>
              <w:spacing w:line="248" w:lineRule="auto"/>
              <w:rPr>
                <w:rFonts w:ascii="Arial"/>
                <w:sz w:val="21"/>
              </w:rPr>
            </w:pPr>
          </w:p>
          <w:p w14:paraId="4950F020">
            <w:pPr>
              <w:spacing w:line="248" w:lineRule="auto"/>
              <w:rPr>
                <w:rFonts w:ascii="Arial"/>
                <w:sz w:val="21"/>
              </w:rPr>
            </w:pPr>
          </w:p>
          <w:p w14:paraId="2134AF45">
            <w:pPr>
              <w:spacing w:line="248" w:lineRule="auto"/>
              <w:rPr>
                <w:rFonts w:ascii="Arial"/>
                <w:sz w:val="21"/>
              </w:rPr>
            </w:pPr>
          </w:p>
          <w:p w14:paraId="542F3C7C">
            <w:pPr>
              <w:spacing w:line="248" w:lineRule="auto"/>
              <w:rPr>
                <w:rFonts w:ascii="Arial"/>
                <w:sz w:val="21"/>
              </w:rPr>
            </w:pPr>
          </w:p>
          <w:p w14:paraId="04A13BB0">
            <w:pPr>
              <w:spacing w:line="248" w:lineRule="auto"/>
              <w:rPr>
                <w:rFonts w:ascii="Arial"/>
                <w:sz w:val="21"/>
              </w:rPr>
            </w:pPr>
          </w:p>
          <w:p w14:paraId="1BB9662C">
            <w:pPr>
              <w:spacing w:line="248" w:lineRule="auto"/>
              <w:rPr>
                <w:rFonts w:ascii="Arial"/>
                <w:sz w:val="21"/>
              </w:rPr>
            </w:pPr>
          </w:p>
          <w:p w14:paraId="0BD671D9">
            <w:pPr>
              <w:spacing w:line="248" w:lineRule="auto"/>
              <w:rPr>
                <w:rFonts w:ascii="Arial"/>
                <w:sz w:val="21"/>
              </w:rPr>
            </w:pPr>
          </w:p>
          <w:p w14:paraId="4CD7C26B">
            <w:pPr>
              <w:spacing w:line="248" w:lineRule="auto"/>
              <w:rPr>
                <w:rFonts w:ascii="Arial"/>
                <w:sz w:val="21"/>
              </w:rPr>
            </w:pPr>
          </w:p>
          <w:p w14:paraId="7AF15FB7">
            <w:pPr>
              <w:spacing w:line="248" w:lineRule="auto"/>
              <w:rPr>
                <w:rFonts w:ascii="Arial"/>
                <w:sz w:val="21"/>
              </w:rPr>
            </w:pPr>
          </w:p>
          <w:p w14:paraId="1ACF42C8">
            <w:pPr>
              <w:spacing w:line="248" w:lineRule="auto"/>
              <w:rPr>
                <w:rFonts w:ascii="Arial"/>
                <w:sz w:val="21"/>
              </w:rPr>
            </w:pPr>
          </w:p>
          <w:p w14:paraId="5DF50C25">
            <w:pPr>
              <w:spacing w:line="248" w:lineRule="auto"/>
              <w:rPr>
                <w:rFonts w:ascii="Arial"/>
                <w:sz w:val="21"/>
              </w:rPr>
            </w:pPr>
          </w:p>
          <w:p w14:paraId="539B1975">
            <w:pPr>
              <w:spacing w:line="248" w:lineRule="auto"/>
              <w:rPr>
                <w:rFonts w:ascii="Arial"/>
                <w:sz w:val="21"/>
              </w:rPr>
            </w:pPr>
          </w:p>
          <w:p w14:paraId="51BC2E75">
            <w:pPr>
              <w:spacing w:line="248" w:lineRule="auto"/>
              <w:rPr>
                <w:rFonts w:ascii="Arial"/>
                <w:sz w:val="21"/>
              </w:rPr>
            </w:pPr>
          </w:p>
          <w:p w14:paraId="2C05C7D8">
            <w:pPr>
              <w:spacing w:line="248" w:lineRule="auto"/>
              <w:rPr>
                <w:rFonts w:ascii="Arial"/>
                <w:sz w:val="21"/>
              </w:rPr>
            </w:pPr>
          </w:p>
          <w:p w14:paraId="1D7EF5D8">
            <w:pPr>
              <w:spacing w:line="248" w:lineRule="auto"/>
              <w:rPr>
                <w:rFonts w:ascii="Arial"/>
                <w:sz w:val="21"/>
              </w:rPr>
            </w:pPr>
          </w:p>
          <w:p w14:paraId="158DB626">
            <w:pPr>
              <w:spacing w:line="248" w:lineRule="auto"/>
              <w:rPr>
                <w:rFonts w:ascii="Arial"/>
                <w:sz w:val="21"/>
              </w:rPr>
            </w:pPr>
          </w:p>
          <w:p w14:paraId="54701B4E">
            <w:pPr>
              <w:spacing w:line="248" w:lineRule="auto"/>
              <w:rPr>
                <w:rFonts w:ascii="Arial"/>
                <w:sz w:val="21"/>
              </w:rPr>
            </w:pPr>
          </w:p>
          <w:p w14:paraId="1E2442AC">
            <w:pPr>
              <w:spacing w:line="249" w:lineRule="auto"/>
              <w:rPr>
                <w:rFonts w:ascii="Arial"/>
                <w:sz w:val="21"/>
              </w:rPr>
            </w:pPr>
          </w:p>
          <w:p w14:paraId="35BA0393">
            <w:pPr>
              <w:spacing w:line="249" w:lineRule="auto"/>
              <w:rPr>
                <w:rFonts w:ascii="Arial"/>
                <w:sz w:val="21"/>
              </w:rPr>
            </w:pPr>
          </w:p>
          <w:p w14:paraId="7D1C2C2D">
            <w:pPr>
              <w:spacing w:line="249" w:lineRule="auto"/>
              <w:rPr>
                <w:rFonts w:ascii="Arial"/>
                <w:sz w:val="21"/>
              </w:rPr>
            </w:pPr>
          </w:p>
          <w:p w14:paraId="1C3A8145">
            <w:pPr>
              <w:spacing w:line="249" w:lineRule="auto"/>
              <w:rPr>
                <w:rFonts w:ascii="Arial"/>
                <w:sz w:val="21"/>
              </w:rPr>
            </w:pPr>
          </w:p>
          <w:p w14:paraId="655A79C0">
            <w:pPr>
              <w:pStyle w:val="5"/>
              <w:spacing w:before="58" w:line="204" w:lineRule="auto"/>
              <w:ind w:left="24" w:right="64" w:firstLine="6"/>
              <w:jc w:val="both"/>
            </w:pPr>
            <w:r>
              <w:t>二、关于贯彻落实</w:t>
            </w:r>
            <w:r>
              <w:rPr>
                <w:spacing w:val="1"/>
              </w:rPr>
              <w:t>习近平总书记重要讲话和重要指示批</w:t>
            </w:r>
            <w:r>
              <w:t>示精神、党中央重</w:t>
            </w:r>
            <w:r>
              <w:rPr>
                <w:spacing w:val="1"/>
              </w:rPr>
              <w:t>大决策部署方面的整改进展情况</w:t>
            </w:r>
          </w:p>
        </w:tc>
        <w:tc>
          <w:tcPr>
            <w:tcW w:w="1959" w:type="dxa"/>
            <w:noWrap w:val="0"/>
            <w:vAlign w:val="top"/>
          </w:tcPr>
          <w:p w14:paraId="0CEBDD23">
            <w:pPr>
              <w:spacing w:line="259" w:lineRule="auto"/>
              <w:rPr>
                <w:rFonts w:ascii="Arial"/>
                <w:sz w:val="21"/>
              </w:rPr>
            </w:pPr>
          </w:p>
          <w:p w14:paraId="351F1694">
            <w:pPr>
              <w:spacing w:line="259" w:lineRule="auto"/>
              <w:rPr>
                <w:rFonts w:ascii="Arial"/>
                <w:sz w:val="21"/>
              </w:rPr>
            </w:pPr>
          </w:p>
          <w:p w14:paraId="7E0FA279">
            <w:pPr>
              <w:spacing w:line="259" w:lineRule="auto"/>
              <w:rPr>
                <w:rFonts w:ascii="Arial"/>
                <w:sz w:val="21"/>
              </w:rPr>
            </w:pPr>
          </w:p>
          <w:p w14:paraId="627F5B80">
            <w:pPr>
              <w:pStyle w:val="5"/>
              <w:spacing w:before="58" w:line="216" w:lineRule="auto"/>
              <w:ind w:left="29" w:right="30" w:firstLine="7"/>
            </w:pPr>
            <w:r>
              <w:rPr>
                <w:rFonts w:ascii="Times New Roman" w:hAnsi="Times New Roman" w:eastAsia="Times New Roman" w:cs="Times New Roman"/>
                <w:spacing w:val="-2"/>
              </w:rPr>
              <w:t>1.</w:t>
            </w:r>
            <w:r>
              <w:rPr>
                <w:spacing w:val="-2"/>
              </w:rPr>
              <w:t>强化理论武装，从严抓好</w:t>
            </w:r>
            <w:r>
              <w:t>贯彻落实。</w:t>
            </w:r>
          </w:p>
        </w:tc>
        <w:tc>
          <w:tcPr>
            <w:tcW w:w="4941" w:type="dxa"/>
            <w:noWrap w:val="0"/>
            <w:vAlign w:val="top"/>
          </w:tcPr>
          <w:p w14:paraId="678AE301">
            <w:pPr>
              <w:spacing w:line="246" w:lineRule="auto"/>
              <w:rPr>
                <w:rFonts w:ascii="Arial"/>
                <w:sz w:val="21"/>
              </w:rPr>
            </w:pPr>
          </w:p>
          <w:p w14:paraId="31E7FF68">
            <w:pPr>
              <w:spacing w:line="247" w:lineRule="auto"/>
              <w:rPr>
                <w:rFonts w:ascii="Arial"/>
                <w:sz w:val="21"/>
              </w:rPr>
            </w:pPr>
          </w:p>
          <w:p w14:paraId="1640771D">
            <w:pPr>
              <w:pStyle w:val="5"/>
              <w:spacing w:before="58" w:line="205" w:lineRule="auto"/>
              <w:ind w:left="27" w:firstLine="11"/>
              <w:jc w:val="both"/>
            </w:pPr>
            <w:r>
              <w:rPr>
                <w:spacing w:val="3"/>
              </w:rPr>
              <w:t>一是组织学习中央相关会议精神及习近平总书记关</w:t>
            </w:r>
            <w:r>
              <w:rPr>
                <w:spacing w:val="2"/>
              </w:rPr>
              <w:t>于</w:t>
            </w:r>
            <w:r>
              <w:rPr>
                <w:rFonts w:ascii="Times New Roman" w:hAnsi="Times New Roman" w:eastAsia="Times New Roman" w:cs="Times New Roman"/>
                <w:spacing w:val="2"/>
              </w:rPr>
              <w:t>“</w:t>
            </w:r>
            <w:r>
              <w:rPr>
                <w:spacing w:val="2"/>
              </w:rPr>
              <w:t>三农</w:t>
            </w:r>
            <w:r>
              <w:rPr>
                <w:rFonts w:ascii="Times New Roman" w:hAnsi="Times New Roman" w:eastAsia="Times New Roman" w:cs="Times New Roman"/>
                <w:spacing w:val="2"/>
              </w:rPr>
              <w:t>”</w:t>
            </w:r>
            <w:r>
              <w:rPr>
                <w:spacing w:val="2"/>
              </w:rPr>
              <w:t>工作重要</w:t>
            </w:r>
            <w:r>
              <w:rPr>
                <w:spacing w:val="3"/>
              </w:rPr>
              <w:t>论述与指示，建立长效学习机制，定期跟进学习最新内容。每周组织</w:t>
            </w:r>
            <w:r>
              <w:rPr>
                <w:spacing w:val="1"/>
              </w:rPr>
              <w:t>学习第一议题，包含中央工作会议、中央农村工作会议、习近平总书</w:t>
            </w:r>
            <w:r>
              <w:rPr>
                <w:spacing w:val="3"/>
              </w:rPr>
              <w:t>记的重要论述和重要指示精神等。二是定期检查，对学习情况进行定</w:t>
            </w:r>
            <w:r>
              <w:rPr>
                <w:spacing w:val="1"/>
              </w:rPr>
              <w:t>期检查，对落实不力的严肃问责。</w:t>
            </w:r>
          </w:p>
        </w:tc>
        <w:tc>
          <w:tcPr>
            <w:tcW w:w="929" w:type="dxa"/>
            <w:noWrap w:val="0"/>
            <w:vAlign w:val="top"/>
          </w:tcPr>
          <w:p w14:paraId="10B77DF6">
            <w:pPr>
              <w:rPr>
                <w:rFonts w:ascii="Arial"/>
                <w:sz w:val="21"/>
              </w:rPr>
            </w:pPr>
          </w:p>
        </w:tc>
      </w:tr>
      <w:tr w14:paraId="43A1A9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3" w:hRule="atLeast"/>
        </w:trPr>
        <w:tc>
          <w:tcPr>
            <w:tcW w:w="365" w:type="dxa"/>
            <w:noWrap w:val="0"/>
            <w:vAlign w:val="top"/>
          </w:tcPr>
          <w:p w14:paraId="26635800">
            <w:pPr>
              <w:spacing w:line="259" w:lineRule="auto"/>
              <w:rPr>
                <w:rFonts w:ascii="Arial"/>
                <w:sz w:val="21"/>
              </w:rPr>
            </w:pPr>
          </w:p>
          <w:p w14:paraId="124368A1">
            <w:pPr>
              <w:spacing w:line="259" w:lineRule="auto"/>
              <w:rPr>
                <w:rFonts w:ascii="Arial"/>
                <w:sz w:val="21"/>
              </w:rPr>
            </w:pPr>
          </w:p>
          <w:p w14:paraId="079E1548">
            <w:pPr>
              <w:spacing w:line="259" w:lineRule="auto"/>
              <w:rPr>
                <w:rFonts w:ascii="Arial"/>
                <w:sz w:val="21"/>
              </w:rPr>
            </w:pPr>
          </w:p>
          <w:p w14:paraId="4CFE47F5">
            <w:pPr>
              <w:spacing w:line="259" w:lineRule="auto"/>
              <w:rPr>
                <w:rFonts w:ascii="Arial"/>
                <w:sz w:val="21"/>
              </w:rPr>
            </w:pPr>
          </w:p>
          <w:p w14:paraId="582F5792">
            <w:pPr>
              <w:spacing w:line="259" w:lineRule="auto"/>
              <w:rPr>
                <w:rFonts w:ascii="Arial"/>
                <w:sz w:val="21"/>
              </w:rPr>
            </w:pPr>
          </w:p>
          <w:p w14:paraId="31464EB5">
            <w:pPr>
              <w:spacing w:line="260" w:lineRule="auto"/>
              <w:rPr>
                <w:rFonts w:ascii="Arial"/>
                <w:sz w:val="21"/>
              </w:rPr>
            </w:pPr>
          </w:p>
          <w:p w14:paraId="098D7430">
            <w:pPr>
              <w:spacing w:line="260" w:lineRule="auto"/>
              <w:rPr>
                <w:rFonts w:ascii="Arial"/>
                <w:sz w:val="21"/>
              </w:rPr>
            </w:pPr>
          </w:p>
          <w:p w14:paraId="55C73216">
            <w:pPr>
              <w:spacing w:line="260" w:lineRule="auto"/>
              <w:rPr>
                <w:rFonts w:ascii="Arial"/>
                <w:sz w:val="21"/>
              </w:rPr>
            </w:pPr>
          </w:p>
          <w:p w14:paraId="673AE4B2">
            <w:pPr>
              <w:spacing w:before="46" w:line="190" w:lineRule="auto"/>
              <w:ind w:left="14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13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BEFD2CA">
            <w:pPr>
              <w:rPr>
                <w:rFonts w:ascii="Arial"/>
                <w:sz w:val="21"/>
              </w:rPr>
            </w:pPr>
          </w:p>
        </w:tc>
        <w:tc>
          <w:tcPr>
            <w:tcW w:w="1959" w:type="dxa"/>
            <w:noWrap w:val="0"/>
            <w:vAlign w:val="top"/>
          </w:tcPr>
          <w:p w14:paraId="3CC943F7">
            <w:pPr>
              <w:spacing w:line="254" w:lineRule="auto"/>
              <w:rPr>
                <w:rFonts w:ascii="Arial"/>
                <w:sz w:val="21"/>
              </w:rPr>
            </w:pPr>
          </w:p>
          <w:p w14:paraId="18CA51E0">
            <w:pPr>
              <w:spacing w:line="254" w:lineRule="auto"/>
              <w:rPr>
                <w:rFonts w:ascii="Arial"/>
                <w:sz w:val="21"/>
              </w:rPr>
            </w:pPr>
          </w:p>
          <w:p w14:paraId="4CEF2578">
            <w:pPr>
              <w:spacing w:line="254" w:lineRule="auto"/>
              <w:rPr>
                <w:rFonts w:ascii="Arial"/>
                <w:sz w:val="21"/>
              </w:rPr>
            </w:pPr>
          </w:p>
          <w:p w14:paraId="76ADAE99">
            <w:pPr>
              <w:spacing w:line="254" w:lineRule="auto"/>
              <w:rPr>
                <w:rFonts w:ascii="Arial"/>
                <w:sz w:val="21"/>
              </w:rPr>
            </w:pPr>
          </w:p>
          <w:p w14:paraId="0AD1E02E">
            <w:pPr>
              <w:spacing w:line="254" w:lineRule="auto"/>
              <w:rPr>
                <w:rFonts w:ascii="Arial"/>
                <w:sz w:val="21"/>
              </w:rPr>
            </w:pPr>
          </w:p>
          <w:p w14:paraId="5B3BFDED">
            <w:pPr>
              <w:spacing w:line="254" w:lineRule="auto"/>
              <w:rPr>
                <w:rFonts w:ascii="Arial"/>
                <w:sz w:val="21"/>
              </w:rPr>
            </w:pPr>
          </w:p>
          <w:p w14:paraId="4A21F240">
            <w:pPr>
              <w:spacing w:line="254" w:lineRule="auto"/>
              <w:rPr>
                <w:rFonts w:ascii="Arial"/>
                <w:sz w:val="21"/>
              </w:rPr>
            </w:pPr>
          </w:p>
          <w:p w14:paraId="2BF26A4A">
            <w:pPr>
              <w:spacing w:line="254" w:lineRule="auto"/>
              <w:rPr>
                <w:rFonts w:ascii="Arial"/>
                <w:sz w:val="21"/>
              </w:rPr>
            </w:pPr>
          </w:p>
          <w:p w14:paraId="772268D3">
            <w:pPr>
              <w:pStyle w:val="5"/>
              <w:spacing w:before="58" w:line="235" w:lineRule="auto"/>
              <w:ind w:left="21"/>
            </w:pPr>
            <w:r>
              <w:rPr>
                <w:rFonts w:ascii="Times New Roman" w:hAnsi="Times New Roman" w:eastAsia="Times New Roman" w:cs="Times New Roman"/>
              </w:rPr>
              <w:t>2.</w:t>
            </w:r>
            <w:r>
              <w:t>强化基层治理能力。</w:t>
            </w:r>
          </w:p>
        </w:tc>
        <w:tc>
          <w:tcPr>
            <w:tcW w:w="4941" w:type="dxa"/>
            <w:noWrap w:val="0"/>
            <w:vAlign w:val="top"/>
          </w:tcPr>
          <w:p w14:paraId="1E603199">
            <w:pPr>
              <w:spacing w:line="265" w:lineRule="auto"/>
              <w:rPr>
                <w:rFonts w:ascii="Arial"/>
                <w:sz w:val="21"/>
              </w:rPr>
            </w:pPr>
          </w:p>
          <w:p w14:paraId="7EF768AB">
            <w:pPr>
              <w:spacing w:line="265" w:lineRule="auto"/>
              <w:rPr>
                <w:rFonts w:ascii="Arial"/>
                <w:sz w:val="21"/>
              </w:rPr>
            </w:pPr>
          </w:p>
          <w:p w14:paraId="64D3291C">
            <w:pPr>
              <w:spacing w:line="265" w:lineRule="auto"/>
              <w:rPr>
                <w:rFonts w:ascii="Arial"/>
                <w:sz w:val="21"/>
              </w:rPr>
            </w:pPr>
          </w:p>
          <w:p w14:paraId="47724B85">
            <w:pPr>
              <w:spacing w:line="265" w:lineRule="auto"/>
              <w:rPr>
                <w:rFonts w:ascii="Arial"/>
                <w:sz w:val="21"/>
              </w:rPr>
            </w:pPr>
          </w:p>
          <w:p w14:paraId="76703937">
            <w:pPr>
              <w:pStyle w:val="5"/>
              <w:spacing w:before="58" w:line="204" w:lineRule="auto"/>
              <w:ind w:left="26" w:right="4" w:firstLine="12"/>
              <w:jc w:val="both"/>
            </w:pPr>
            <w:r>
              <w:rPr>
                <w:spacing w:val="1"/>
              </w:rPr>
              <w:t>一是加强普法宣传力度，组织开展法律讲座、发放宣传资料等</w:t>
            </w:r>
            <w:r>
              <w:t>普法宣</w:t>
            </w:r>
            <w:r>
              <w:rPr>
                <w:spacing w:val="1"/>
              </w:rPr>
              <w:t>传</w:t>
            </w:r>
            <w:r>
              <w:rPr>
                <w:rFonts w:ascii="Times New Roman" w:hAnsi="Times New Roman" w:eastAsia="Times New Roman" w:cs="Times New Roman"/>
                <w:spacing w:val="1"/>
              </w:rPr>
              <w:t>10</w:t>
            </w:r>
            <w:r>
              <w:rPr>
                <w:spacing w:val="1"/>
              </w:rPr>
              <w:t>次，用多种多样通俗易懂的方式普及法律知识，提升村民法律意</w:t>
            </w:r>
            <w:r>
              <w:t>识。严格执行监督帮扶机制，对有违法倾向的村民及时监督劝阻，对</w:t>
            </w:r>
            <w:r>
              <w:rPr>
                <w:spacing w:val="1"/>
              </w:rPr>
              <w:t>刑满释放人员提供就业指导与帮扶，助其回归正途。二是完善村规民约，于</w:t>
            </w:r>
            <w:r>
              <w:rPr>
                <w:rFonts w:ascii="Times New Roman" w:hAnsi="Times New Roman" w:eastAsia="Times New Roman" w:cs="Times New Roman"/>
                <w:spacing w:val="1"/>
              </w:rPr>
              <w:t>2025</w:t>
            </w:r>
            <w:r>
              <w:rPr>
                <w:spacing w:val="1"/>
              </w:rPr>
              <w:t>年下半年组织各村民小组重新修订村规民约，</w:t>
            </w:r>
            <w:r>
              <w:t>根据国家现行政策、结合小组实际后已重新完善，已将文明殡葬纳入村规民约内容。三是认真分析当前矛盾纠纷的具体类型、情况，联合司法所、国</w:t>
            </w:r>
            <w:r>
              <w:rPr>
                <w:spacing w:val="-1"/>
              </w:rPr>
              <w:t>土所等部门，针对复杂纠纷开展联合调解，形成工作合力，早日解决</w:t>
            </w:r>
            <w:r>
              <w:rPr>
                <w:spacing w:val="1"/>
              </w:rPr>
              <w:t>纠纷。税房村</w:t>
            </w:r>
            <w:r>
              <w:rPr>
                <w:rFonts w:ascii="Times New Roman" w:hAnsi="Times New Roman" w:eastAsia="Times New Roman" w:cs="Times New Roman"/>
                <w:spacing w:val="1"/>
              </w:rPr>
              <w:t>2025</w:t>
            </w:r>
            <w:r>
              <w:rPr>
                <w:spacing w:val="1"/>
              </w:rPr>
              <w:t>年</w:t>
            </w:r>
            <w:r>
              <w:rPr>
                <w:rFonts w:ascii="Times New Roman" w:hAnsi="Times New Roman" w:eastAsia="Times New Roman" w:cs="Times New Roman"/>
                <w:spacing w:val="1"/>
              </w:rPr>
              <w:t>3</w:t>
            </w:r>
            <w:r>
              <w:rPr>
                <w:spacing w:val="1"/>
              </w:rPr>
              <w:t>月共排查出土地</w:t>
            </w:r>
            <w:r>
              <w:t>纠纷</w:t>
            </w:r>
            <w:r>
              <w:rPr>
                <w:rFonts w:ascii="Times New Roman" w:hAnsi="Times New Roman" w:eastAsia="Times New Roman" w:cs="Times New Roman"/>
              </w:rPr>
              <w:t>29</w:t>
            </w:r>
            <w:r>
              <w:t>件，截至目前已化解</w:t>
            </w:r>
            <w:r>
              <w:rPr>
                <w:rFonts w:ascii="Times New Roman" w:hAnsi="Times New Roman" w:eastAsia="Times New Roman" w:cs="Times New Roman"/>
              </w:rPr>
              <w:t>14</w:t>
            </w:r>
            <w:r>
              <w:t>件。四是强化设施管理，重新安装扫黑除恶斗争举报箱，并安排专人定</w:t>
            </w:r>
            <w:r>
              <w:rPr>
                <w:spacing w:val="1"/>
              </w:rPr>
              <w:t>期检查扫黑除恶举报箱等设施，确保举报渠道畅通。</w:t>
            </w:r>
          </w:p>
        </w:tc>
        <w:tc>
          <w:tcPr>
            <w:tcW w:w="929" w:type="dxa"/>
            <w:noWrap w:val="0"/>
            <w:vAlign w:val="top"/>
          </w:tcPr>
          <w:p w14:paraId="2713E9BF">
            <w:pPr>
              <w:rPr>
                <w:rFonts w:ascii="Arial"/>
                <w:sz w:val="21"/>
              </w:rPr>
            </w:pPr>
          </w:p>
        </w:tc>
      </w:tr>
      <w:tr w14:paraId="17F8CC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6" w:hRule="atLeast"/>
        </w:trPr>
        <w:tc>
          <w:tcPr>
            <w:tcW w:w="365" w:type="dxa"/>
            <w:noWrap w:val="0"/>
            <w:vAlign w:val="top"/>
          </w:tcPr>
          <w:p w14:paraId="24C8A062">
            <w:pPr>
              <w:spacing w:line="289" w:lineRule="auto"/>
              <w:rPr>
                <w:rFonts w:ascii="Arial"/>
                <w:sz w:val="21"/>
              </w:rPr>
            </w:pPr>
          </w:p>
          <w:p w14:paraId="349C8E73">
            <w:pPr>
              <w:spacing w:line="289" w:lineRule="auto"/>
              <w:rPr>
                <w:rFonts w:ascii="Arial"/>
                <w:sz w:val="21"/>
              </w:rPr>
            </w:pPr>
          </w:p>
          <w:p w14:paraId="1218C844">
            <w:pPr>
              <w:spacing w:line="289" w:lineRule="auto"/>
              <w:rPr>
                <w:rFonts w:ascii="Arial"/>
                <w:sz w:val="21"/>
              </w:rPr>
            </w:pPr>
          </w:p>
          <w:p w14:paraId="6A1809C1">
            <w:pPr>
              <w:spacing w:before="46" w:line="191" w:lineRule="auto"/>
              <w:ind w:left="14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13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B91E7FE">
            <w:pPr>
              <w:rPr>
                <w:rFonts w:ascii="Arial"/>
                <w:sz w:val="21"/>
              </w:rPr>
            </w:pPr>
          </w:p>
        </w:tc>
        <w:tc>
          <w:tcPr>
            <w:tcW w:w="1959" w:type="dxa"/>
            <w:noWrap w:val="0"/>
            <w:vAlign w:val="top"/>
          </w:tcPr>
          <w:p w14:paraId="3DDA42C0">
            <w:pPr>
              <w:spacing w:line="243" w:lineRule="auto"/>
              <w:rPr>
                <w:rFonts w:ascii="Arial"/>
                <w:sz w:val="21"/>
              </w:rPr>
            </w:pPr>
          </w:p>
          <w:p w14:paraId="4ED35FEA">
            <w:pPr>
              <w:spacing w:line="243" w:lineRule="auto"/>
              <w:rPr>
                <w:rFonts w:ascii="Arial"/>
                <w:sz w:val="21"/>
              </w:rPr>
            </w:pPr>
          </w:p>
          <w:p w14:paraId="46ADC383">
            <w:pPr>
              <w:spacing w:line="243" w:lineRule="auto"/>
              <w:rPr>
                <w:rFonts w:ascii="Arial"/>
                <w:sz w:val="21"/>
              </w:rPr>
            </w:pPr>
          </w:p>
          <w:p w14:paraId="174BCCCD">
            <w:pPr>
              <w:pStyle w:val="5"/>
              <w:spacing w:before="57" w:line="219" w:lineRule="auto"/>
              <w:ind w:left="30" w:right="13" w:hanging="6"/>
            </w:pPr>
            <w:r>
              <w:rPr>
                <w:rFonts w:ascii="Times New Roman" w:hAnsi="Times New Roman" w:eastAsia="Times New Roman" w:cs="Times New Roman"/>
                <w:spacing w:val="2"/>
              </w:rPr>
              <w:t>3.</w:t>
            </w:r>
            <w:r>
              <w:rPr>
                <w:spacing w:val="2"/>
              </w:rPr>
              <w:t>全面提升乡村振兴落实成</w:t>
            </w:r>
            <w:r>
              <w:rPr>
                <w:spacing w:val="-6"/>
              </w:rPr>
              <w:t>效。</w:t>
            </w:r>
          </w:p>
        </w:tc>
        <w:tc>
          <w:tcPr>
            <w:tcW w:w="4941" w:type="dxa"/>
            <w:noWrap w:val="0"/>
            <w:vAlign w:val="top"/>
          </w:tcPr>
          <w:p w14:paraId="0EBDCADC">
            <w:pPr>
              <w:spacing w:line="442" w:lineRule="auto"/>
              <w:rPr>
                <w:rFonts w:ascii="Arial"/>
                <w:sz w:val="21"/>
              </w:rPr>
            </w:pPr>
          </w:p>
          <w:p w14:paraId="1E35B6BB">
            <w:pPr>
              <w:pStyle w:val="5"/>
              <w:spacing w:before="58" w:line="206" w:lineRule="auto"/>
              <w:ind w:left="28" w:firstLine="10"/>
              <w:jc w:val="both"/>
            </w:pPr>
            <w:r>
              <w:rPr>
                <w:spacing w:val="5"/>
              </w:rPr>
              <w:t>一是深入调研找症结。于</w:t>
            </w:r>
            <w:r>
              <w:rPr>
                <w:rFonts w:ascii="Times New Roman" w:hAnsi="Times New Roman" w:eastAsia="Times New Roman" w:cs="Times New Roman"/>
                <w:spacing w:val="5"/>
              </w:rPr>
              <w:t>2025</w:t>
            </w:r>
            <w:r>
              <w:rPr>
                <w:spacing w:val="5"/>
              </w:rPr>
              <w:t>年</w:t>
            </w:r>
            <w:r>
              <w:rPr>
                <w:rFonts w:ascii="Times New Roman" w:hAnsi="Times New Roman" w:eastAsia="Times New Roman" w:cs="Times New Roman"/>
                <w:spacing w:val="5"/>
              </w:rPr>
              <w:t>5</w:t>
            </w:r>
            <w:r>
              <w:rPr>
                <w:spacing w:val="5"/>
              </w:rPr>
              <w:t>月组织村两委</w:t>
            </w:r>
            <w:r>
              <w:rPr>
                <w:spacing w:val="4"/>
              </w:rPr>
              <w:t>查找养殖小区闲置原</w:t>
            </w:r>
            <w:r>
              <w:rPr>
                <w:spacing w:val="2"/>
              </w:rPr>
              <w:t>因，发现</w:t>
            </w:r>
            <w:r>
              <w:rPr>
                <w:rFonts w:ascii="Times New Roman" w:hAnsi="Times New Roman" w:eastAsia="Times New Roman" w:cs="Times New Roman"/>
                <w:spacing w:val="2"/>
              </w:rPr>
              <w:t>2020</w:t>
            </w:r>
            <w:r>
              <w:rPr>
                <w:spacing w:val="2"/>
              </w:rPr>
              <w:t>年建成后非洲猪瘟盛行，</w:t>
            </w:r>
            <w:r>
              <w:rPr>
                <w:spacing w:val="1"/>
              </w:rPr>
              <w:t>故而闲置。二是盘活资源促利用。根据调研结果，以租赁、合作等方式盘活闲置猪圈，发动农户进</w:t>
            </w:r>
            <w:r>
              <w:rPr>
                <w:spacing w:val="2"/>
              </w:rPr>
              <w:t>行养殖。三是强化服务保运营。提供技术培训、疫病防控等服务，协</w:t>
            </w:r>
            <w:r>
              <w:t>调解决水电等配套问题，确保项目正常运行。</w:t>
            </w:r>
          </w:p>
        </w:tc>
        <w:tc>
          <w:tcPr>
            <w:tcW w:w="929" w:type="dxa"/>
            <w:noWrap w:val="0"/>
            <w:vAlign w:val="top"/>
          </w:tcPr>
          <w:p w14:paraId="4802C712">
            <w:pPr>
              <w:rPr>
                <w:rFonts w:ascii="Arial"/>
                <w:sz w:val="21"/>
              </w:rPr>
            </w:pPr>
          </w:p>
        </w:tc>
      </w:tr>
    </w:tbl>
    <w:p w14:paraId="66B215D3">
      <w:pPr>
        <w:rPr>
          <w:rFonts w:ascii="Arial"/>
          <w:sz w:val="21"/>
        </w:rPr>
      </w:pPr>
    </w:p>
    <w:p w14:paraId="3BFF9ABC">
      <w:pPr>
        <w:rPr>
          <w:rFonts w:ascii="Arial" w:hAnsi="Arial" w:eastAsia="Arial" w:cs="Arial"/>
          <w:sz w:val="21"/>
          <w:szCs w:val="21"/>
        </w:rPr>
        <w:sectPr>
          <w:pgSz w:w="11905" w:h="16837"/>
          <w:pgMar w:top="1431" w:right="1227" w:bottom="0" w:left="1077" w:header="850" w:footer="992" w:gutter="0"/>
          <w:pgNumType w:fmt="decimal"/>
          <w:cols w:space="720" w:num="1"/>
        </w:sectPr>
      </w:pPr>
    </w:p>
    <w:p w14:paraId="7B1FA65A">
      <w:pPr>
        <w:spacing w:line="67" w:lineRule="auto"/>
        <w:rPr>
          <w:rFonts w:ascii="Arial"/>
          <w:sz w:val="2"/>
        </w:rPr>
      </w:pPr>
    </w:p>
    <w:tbl>
      <w:tblPr>
        <w:tblStyle w:val="4"/>
        <w:tblW w:w="95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"/>
        <w:gridCol w:w="1395"/>
        <w:gridCol w:w="1959"/>
        <w:gridCol w:w="4941"/>
        <w:gridCol w:w="929"/>
      </w:tblGrid>
      <w:tr w14:paraId="0F1B09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5" w:hRule="atLeast"/>
        </w:trPr>
        <w:tc>
          <w:tcPr>
            <w:tcW w:w="365" w:type="dxa"/>
            <w:noWrap w:val="0"/>
            <w:vAlign w:val="top"/>
          </w:tcPr>
          <w:p w14:paraId="3A9784E0">
            <w:pPr>
              <w:spacing w:line="246" w:lineRule="auto"/>
              <w:rPr>
                <w:rFonts w:ascii="Arial"/>
                <w:sz w:val="21"/>
              </w:rPr>
            </w:pPr>
          </w:p>
          <w:p w14:paraId="6A8DFCA6">
            <w:pPr>
              <w:spacing w:line="246" w:lineRule="auto"/>
              <w:rPr>
                <w:rFonts w:ascii="Arial"/>
                <w:sz w:val="21"/>
              </w:rPr>
            </w:pPr>
          </w:p>
          <w:p w14:paraId="0A38F604">
            <w:pPr>
              <w:spacing w:line="247" w:lineRule="auto"/>
              <w:rPr>
                <w:rFonts w:ascii="Arial"/>
                <w:sz w:val="21"/>
              </w:rPr>
            </w:pPr>
          </w:p>
          <w:p w14:paraId="5544B3D0">
            <w:pPr>
              <w:spacing w:line="247" w:lineRule="auto"/>
              <w:rPr>
                <w:rFonts w:ascii="Arial"/>
                <w:sz w:val="21"/>
              </w:rPr>
            </w:pPr>
          </w:p>
          <w:p w14:paraId="541E1DEB">
            <w:pPr>
              <w:spacing w:before="46" w:line="187" w:lineRule="auto"/>
              <w:ind w:left="14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1395" w:type="dxa"/>
            <w:vMerge w:val="restart"/>
            <w:tcBorders>
              <w:top w:val="nil"/>
              <w:bottom w:val="nil"/>
            </w:tcBorders>
            <w:noWrap w:val="0"/>
            <w:vAlign w:val="top"/>
          </w:tcPr>
          <w:p w14:paraId="743CF497">
            <w:pPr>
              <w:rPr>
                <w:rFonts w:ascii="Arial"/>
                <w:sz w:val="21"/>
              </w:rPr>
            </w:pPr>
          </w:p>
        </w:tc>
        <w:tc>
          <w:tcPr>
            <w:tcW w:w="1959" w:type="dxa"/>
            <w:noWrap w:val="0"/>
            <w:vAlign w:val="top"/>
          </w:tcPr>
          <w:p w14:paraId="53011F24">
            <w:pPr>
              <w:spacing w:line="313" w:lineRule="auto"/>
              <w:rPr>
                <w:rFonts w:ascii="Arial"/>
                <w:sz w:val="21"/>
              </w:rPr>
            </w:pPr>
          </w:p>
          <w:p w14:paraId="37EC70D7">
            <w:pPr>
              <w:spacing w:line="314" w:lineRule="auto"/>
              <w:rPr>
                <w:rFonts w:ascii="Arial"/>
                <w:sz w:val="21"/>
              </w:rPr>
            </w:pPr>
          </w:p>
          <w:p w14:paraId="1233CEA8">
            <w:pPr>
              <w:spacing w:line="314" w:lineRule="auto"/>
              <w:rPr>
                <w:rFonts w:ascii="Arial"/>
                <w:sz w:val="21"/>
              </w:rPr>
            </w:pPr>
          </w:p>
          <w:p w14:paraId="5FEDD3EB">
            <w:pPr>
              <w:pStyle w:val="5"/>
              <w:spacing w:before="58" w:line="235" w:lineRule="auto"/>
              <w:ind w:left="20"/>
            </w:pPr>
            <w:r>
              <w:rPr>
                <w:rFonts w:ascii="Times New Roman" w:hAnsi="Times New Roman" w:eastAsia="Times New Roman" w:cs="Times New Roman"/>
              </w:rPr>
              <w:t>4.</w:t>
            </w:r>
            <w:r>
              <w:t>强化为民服务意识。</w:t>
            </w:r>
          </w:p>
        </w:tc>
        <w:tc>
          <w:tcPr>
            <w:tcW w:w="4941" w:type="dxa"/>
            <w:noWrap w:val="0"/>
            <w:vAlign w:val="top"/>
          </w:tcPr>
          <w:p w14:paraId="57FC5723">
            <w:pPr>
              <w:spacing w:line="277" w:lineRule="auto"/>
              <w:rPr>
                <w:rFonts w:ascii="Arial"/>
                <w:sz w:val="21"/>
              </w:rPr>
            </w:pPr>
          </w:p>
          <w:p w14:paraId="6B6B198F">
            <w:pPr>
              <w:spacing w:line="277" w:lineRule="auto"/>
              <w:rPr>
                <w:rFonts w:ascii="Arial"/>
                <w:sz w:val="21"/>
              </w:rPr>
            </w:pPr>
          </w:p>
          <w:p w14:paraId="6EE24A5E">
            <w:pPr>
              <w:pStyle w:val="5"/>
              <w:spacing w:before="58" w:line="198" w:lineRule="auto"/>
              <w:ind w:left="28" w:firstLine="10"/>
            </w:pPr>
            <w:r>
              <w:rPr>
                <w:spacing w:val="3"/>
              </w:rPr>
              <w:t>一是加强宣传动员。组织工作人员深入各小组，通过召开</w:t>
            </w:r>
            <w:r>
              <w:rPr>
                <w:spacing w:val="2"/>
              </w:rPr>
              <w:t>村民大会、</w:t>
            </w:r>
            <w:r>
              <w:rPr>
                <w:spacing w:val="3"/>
              </w:rPr>
              <w:t>入户讲解等方式，宣传宅基地不动产登记证的重要意义和办理流程，提高村民办理积极性。二是主动对接上级部门，积极协助村民小组办</w:t>
            </w:r>
          </w:p>
          <w:p w14:paraId="4B6466BD">
            <w:pPr>
              <w:pStyle w:val="5"/>
              <w:spacing w:before="1" w:line="218" w:lineRule="auto"/>
              <w:ind w:left="37" w:hanging="8"/>
            </w:pPr>
            <w:r>
              <w:rPr>
                <w:spacing w:val="3"/>
              </w:rPr>
              <w:t>理。三是定期统计办理进度，对未办理的村民进行提醒督促，确保应</w:t>
            </w:r>
            <w:r>
              <w:rPr>
                <w:spacing w:val="-3"/>
              </w:rPr>
              <w:t>办尽办。</w:t>
            </w:r>
          </w:p>
        </w:tc>
        <w:tc>
          <w:tcPr>
            <w:tcW w:w="929" w:type="dxa"/>
            <w:noWrap w:val="0"/>
            <w:vAlign w:val="top"/>
          </w:tcPr>
          <w:p w14:paraId="69224761">
            <w:pPr>
              <w:rPr>
                <w:rFonts w:ascii="Arial"/>
                <w:sz w:val="21"/>
              </w:rPr>
            </w:pPr>
          </w:p>
        </w:tc>
      </w:tr>
      <w:tr w14:paraId="7EFA6A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7" w:hRule="atLeast"/>
        </w:trPr>
        <w:tc>
          <w:tcPr>
            <w:tcW w:w="365" w:type="dxa"/>
            <w:noWrap w:val="0"/>
            <w:vAlign w:val="top"/>
          </w:tcPr>
          <w:p w14:paraId="15F7CE4C">
            <w:pPr>
              <w:spacing w:line="252" w:lineRule="auto"/>
              <w:rPr>
                <w:rFonts w:ascii="Arial"/>
                <w:sz w:val="21"/>
              </w:rPr>
            </w:pPr>
          </w:p>
          <w:p w14:paraId="4D48C3D8">
            <w:pPr>
              <w:spacing w:line="252" w:lineRule="auto"/>
              <w:rPr>
                <w:rFonts w:ascii="Arial"/>
                <w:sz w:val="21"/>
              </w:rPr>
            </w:pPr>
          </w:p>
          <w:p w14:paraId="32AD7CD6">
            <w:pPr>
              <w:spacing w:line="252" w:lineRule="auto"/>
              <w:rPr>
                <w:rFonts w:ascii="Arial"/>
                <w:sz w:val="21"/>
              </w:rPr>
            </w:pPr>
          </w:p>
          <w:p w14:paraId="28FA94F8">
            <w:pPr>
              <w:spacing w:line="253" w:lineRule="auto"/>
              <w:rPr>
                <w:rFonts w:ascii="Arial"/>
                <w:sz w:val="21"/>
              </w:rPr>
            </w:pPr>
          </w:p>
          <w:p w14:paraId="359BB0CF">
            <w:pPr>
              <w:spacing w:before="46" w:line="190" w:lineRule="auto"/>
              <w:ind w:left="14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1395" w:type="dxa"/>
            <w:vMerge w:val="continue"/>
            <w:tcBorders>
              <w:top w:val="nil"/>
            </w:tcBorders>
            <w:noWrap w:val="0"/>
            <w:vAlign w:val="top"/>
          </w:tcPr>
          <w:p w14:paraId="6F7E67E4">
            <w:pPr>
              <w:rPr>
                <w:rFonts w:ascii="Arial"/>
                <w:sz w:val="21"/>
              </w:rPr>
            </w:pPr>
          </w:p>
        </w:tc>
        <w:tc>
          <w:tcPr>
            <w:tcW w:w="1959" w:type="dxa"/>
            <w:noWrap w:val="0"/>
            <w:vAlign w:val="top"/>
          </w:tcPr>
          <w:p w14:paraId="49C447C1">
            <w:pPr>
              <w:spacing w:line="290" w:lineRule="auto"/>
              <w:rPr>
                <w:rFonts w:ascii="Arial"/>
                <w:sz w:val="21"/>
              </w:rPr>
            </w:pPr>
          </w:p>
          <w:p w14:paraId="2B160407">
            <w:pPr>
              <w:spacing w:line="290" w:lineRule="auto"/>
              <w:rPr>
                <w:rFonts w:ascii="Arial"/>
                <w:sz w:val="21"/>
              </w:rPr>
            </w:pPr>
          </w:p>
          <w:p w14:paraId="32E15ACD">
            <w:pPr>
              <w:spacing w:line="291" w:lineRule="auto"/>
              <w:rPr>
                <w:rFonts w:ascii="Arial"/>
                <w:sz w:val="21"/>
              </w:rPr>
            </w:pPr>
          </w:p>
          <w:p w14:paraId="23D8116D">
            <w:pPr>
              <w:pStyle w:val="5"/>
              <w:spacing w:before="58" w:line="217" w:lineRule="auto"/>
              <w:ind w:left="27" w:right="13" w:hanging="2"/>
            </w:pPr>
            <w:r>
              <w:rPr>
                <w:rFonts w:ascii="Times New Roman" w:hAnsi="Times New Roman" w:eastAsia="Times New Roman" w:cs="Times New Roman"/>
                <w:spacing w:val="2"/>
              </w:rPr>
              <w:t>5.</w:t>
            </w:r>
            <w:r>
              <w:rPr>
                <w:spacing w:val="2"/>
              </w:rPr>
              <w:t>严格落实意识形态工作责</w:t>
            </w:r>
            <w:r>
              <w:rPr>
                <w:spacing w:val="-2"/>
              </w:rPr>
              <w:t>任制。</w:t>
            </w:r>
          </w:p>
        </w:tc>
        <w:tc>
          <w:tcPr>
            <w:tcW w:w="4941" w:type="dxa"/>
            <w:noWrap w:val="0"/>
            <w:vAlign w:val="top"/>
          </w:tcPr>
          <w:p w14:paraId="677D06A2">
            <w:pPr>
              <w:spacing w:line="466" w:lineRule="auto"/>
              <w:rPr>
                <w:rFonts w:ascii="Arial"/>
                <w:sz w:val="21"/>
              </w:rPr>
            </w:pPr>
          </w:p>
          <w:p w14:paraId="5E3BDD30">
            <w:pPr>
              <w:pStyle w:val="5"/>
              <w:spacing w:before="57" w:line="210" w:lineRule="auto"/>
              <w:ind w:left="26" w:firstLine="11"/>
              <w:jc w:val="both"/>
            </w:pPr>
            <w:r>
              <w:rPr>
                <w:spacing w:val="3"/>
              </w:rPr>
              <w:t>一是提升农家书屋利用率。丰富书籍种类，</w:t>
            </w:r>
            <w:r>
              <w:rPr>
                <w:spacing w:val="2"/>
              </w:rPr>
              <w:t>按村民需求采购；积极宣</w:t>
            </w:r>
            <w:r>
              <w:t>传，定期举办主题阅读、亲子共读等活动，吸引村民参与。</w:t>
            </w:r>
            <w:r>
              <w:rPr>
                <w:rFonts w:ascii="Times New Roman" w:hAnsi="Times New Roman" w:eastAsia="Times New Roman" w:cs="Times New Roman"/>
              </w:rPr>
              <w:t>2025</w:t>
            </w:r>
            <w:r>
              <w:t>年</w:t>
            </w:r>
            <w:r>
              <w:rPr>
                <w:rFonts w:ascii="Times New Roman" w:hAnsi="Times New Roman" w:eastAsia="Times New Roman" w:cs="Times New Roman"/>
              </w:rPr>
              <w:t>7</w:t>
            </w:r>
            <w:r>
              <w:t>月</w:t>
            </w:r>
            <w:r>
              <w:rPr>
                <w:spacing w:val="3"/>
              </w:rPr>
              <w:t>以来已有</w:t>
            </w:r>
            <w:r>
              <w:rPr>
                <w:rFonts w:ascii="Times New Roman" w:hAnsi="Times New Roman" w:eastAsia="Times New Roman" w:cs="Times New Roman"/>
                <w:spacing w:val="3"/>
              </w:rPr>
              <w:t>15</w:t>
            </w:r>
            <w:r>
              <w:rPr>
                <w:spacing w:val="3"/>
              </w:rPr>
              <w:t>位村民借阅书籍。二是杜绝弄虚作假，如实记录农家书屋</w:t>
            </w:r>
            <w:r>
              <w:rPr>
                <w:spacing w:val="2"/>
              </w:rPr>
              <w:t>活动开展情况，留存真实资料。三是维护宣传栏。及时更新宣传栏，</w:t>
            </w:r>
            <w:r>
              <w:t>修复破损处，确保宣传栏整洁、信息有效。</w:t>
            </w:r>
            <w:r>
              <w:rPr>
                <w:rFonts w:ascii="Times New Roman" w:hAnsi="Times New Roman" w:eastAsia="Times New Roman" w:cs="Times New Roman"/>
              </w:rPr>
              <w:t>2025</w:t>
            </w:r>
            <w:r>
              <w:t>年</w:t>
            </w:r>
            <w:r>
              <w:rPr>
                <w:rFonts w:ascii="Times New Roman" w:hAnsi="Times New Roman" w:eastAsia="Times New Roman" w:cs="Times New Roman"/>
              </w:rPr>
              <w:t>8</w:t>
            </w:r>
            <w:r>
              <w:t>月</w:t>
            </w:r>
            <w:r>
              <w:rPr>
                <w:rFonts w:ascii="Times New Roman" w:hAnsi="Times New Roman" w:eastAsia="Times New Roman" w:cs="Times New Roman"/>
              </w:rPr>
              <w:t>22</w:t>
            </w:r>
            <w:r>
              <w:t>日村委会宣传</w:t>
            </w:r>
            <w:r>
              <w:rPr>
                <w:spacing w:val="1"/>
              </w:rPr>
              <w:t>栏已修缮更新完成。</w:t>
            </w:r>
          </w:p>
        </w:tc>
        <w:tc>
          <w:tcPr>
            <w:tcW w:w="929" w:type="dxa"/>
            <w:noWrap w:val="0"/>
            <w:vAlign w:val="top"/>
          </w:tcPr>
          <w:p w14:paraId="493E6D78">
            <w:pPr>
              <w:rPr>
                <w:rFonts w:ascii="Arial"/>
                <w:sz w:val="21"/>
              </w:rPr>
            </w:pPr>
          </w:p>
        </w:tc>
      </w:tr>
      <w:tr w14:paraId="095DC8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1" w:hRule="atLeast"/>
        </w:trPr>
        <w:tc>
          <w:tcPr>
            <w:tcW w:w="365" w:type="dxa"/>
            <w:noWrap w:val="0"/>
            <w:vAlign w:val="top"/>
          </w:tcPr>
          <w:p w14:paraId="2639D6AC">
            <w:pPr>
              <w:spacing w:line="256" w:lineRule="auto"/>
              <w:rPr>
                <w:rFonts w:ascii="Arial"/>
                <w:sz w:val="21"/>
              </w:rPr>
            </w:pPr>
          </w:p>
          <w:p w14:paraId="0F8DC9FC">
            <w:pPr>
              <w:spacing w:line="256" w:lineRule="auto"/>
              <w:rPr>
                <w:rFonts w:ascii="Arial"/>
                <w:sz w:val="21"/>
              </w:rPr>
            </w:pPr>
          </w:p>
          <w:p w14:paraId="47225154">
            <w:pPr>
              <w:spacing w:line="256" w:lineRule="auto"/>
              <w:rPr>
                <w:rFonts w:ascii="Arial"/>
                <w:sz w:val="21"/>
              </w:rPr>
            </w:pPr>
          </w:p>
          <w:p w14:paraId="5923BB80">
            <w:pPr>
              <w:spacing w:line="256" w:lineRule="auto"/>
              <w:rPr>
                <w:rFonts w:ascii="Arial"/>
                <w:sz w:val="21"/>
              </w:rPr>
            </w:pPr>
          </w:p>
          <w:p w14:paraId="23BFD0E6">
            <w:pPr>
              <w:spacing w:before="46" w:line="188" w:lineRule="auto"/>
              <w:ind w:left="14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1395" w:type="dxa"/>
            <w:vMerge w:val="restart"/>
            <w:tcBorders>
              <w:bottom w:val="nil"/>
            </w:tcBorders>
            <w:noWrap w:val="0"/>
            <w:vAlign w:val="top"/>
          </w:tcPr>
          <w:p w14:paraId="534FB80F">
            <w:pPr>
              <w:spacing w:line="299" w:lineRule="auto"/>
              <w:rPr>
                <w:rFonts w:ascii="Arial"/>
                <w:sz w:val="21"/>
              </w:rPr>
            </w:pPr>
          </w:p>
          <w:p w14:paraId="2F13B179">
            <w:pPr>
              <w:spacing w:line="300" w:lineRule="auto"/>
              <w:rPr>
                <w:rFonts w:ascii="Arial"/>
                <w:sz w:val="21"/>
              </w:rPr>
            </w:pPr>
          </w:p>
          <w:p w14:paraId="55ED40CC">
            <w:pPr>
              <w:spacing w:line="300" w:lineRule="auto"/>
              <w:rPr>
                <w:rFonts w:ascii="Arial"/>
                <w:sz w:val="21"/>
              </w:rPr>
            </w:pPr>
          </w:p>
          <w:p w14:paraId="20FDAEC7">
            <w:pPr>
              <w:pStyle w:val="5"/>
              <w:spacing w:before="58" w:line="207" w:lineRule="auto"/>
              <w:ind w:left="25" w:right="64" w:firstLine="8"/>
              <w:jc w:val="both"/>
            </w:pPr>
            <w:r>
              <w:t>三、关于推动全面</w:t>
            </w:r>
            <w:r>
              <w:rPr>
                <w:spacing w:val="1"/>
              </w:rPr>
              <w:t>从严治党向纵深发展方面的整改进展</w:t>
            </w:r>
            <w:r>
              <w:rPr>
                <w:spacing w:val="-2"/>
              </w:rPr>
              <w:t>情况</w:t>
            </w:r>
          </w:p>
        </w:tc>
        <w:tc>
          <w:tcPr>
            <w:tcW w:w="1959" w:type="dxa"/>
            <w:noWrap w:val="0"/>
            <w:vAlign w:val="top"/>
          </w:tcPr>
          <w:p w14:paraId="352C931C">
            <w:pPr>
              <w:spacing w:line="276" w:lineRule="auto"/>
              <w:rPr>
                <w:rFonts w:ascii="Arial"/>
                <w:sz w:val="21"/>
              </w:rPr>
            </w:pPr>
          </w:p>
          <w:p w14:paraId="7502829B">
            <w:pPr>
              <w:spacing w:line="276" w:lineRule="auto"/>
              <w:rPr>
                <w:rFonts w:ascii="Arial"/>
                <w:sz w:val="21"/>
              </w:rPr>
            </w:pPr>
          </w:p>
          <w:p w14:paraId="2124012E">
            <w:pPr>
              <w:spacing w:line="276" w:lineRule="auto"/>
              <w:rPr>
                <w:rFonts w:ascii="Arial"/>
                <w:sz w:val="21"/>
              </w:rPr>
            </w:pPr>
          </w:p>
          <w:p w14:paraId="392C4D1F">
            <w:pPr>
              <w:spacing w:line="277" w:lineRule="auto"/>
              <w:rPr>
                <w:rFonts w:ascii="Arial"/>
                <w:sz w:val="21"/>
              </w:rPr>
            </w:pPr>
          </w:p>
          <w:p w14:paraId="0AA9842A">
            <w:pPr>
              <w:pStyle w:val="5"/>
              <w:spacing w:before="58" w:line="235" w:lineRule="auto"/>
              <w:ind w:left="37"/>
            </w:pPr>
            <w:r>
              <w:rPr>
                <w:rFonts w:ascii="Times New Roman" w:hAnsi="Times New Roman" w:eastAsia="Times New Roman" w:cs="Times New Roman"/>
              </w:rPr>
              <w:t>1.</w:t>
            </w:r>
            <w:r>
              <w:t>严格执行财务制度。</w:t>
            </w:r>
          </w:p>
        </w:tc>
        <w:tc>
          <w:tcPr>
            <w:tcW w:w="4941" w:type="dxa"/>
            <w:noWrap w:val="0"/>
            <w:vAlign w:val="top"/>
          </w:tcPr>
          <w:p w14:paraId="11ACC112">
            <w:pPr>
              <w:spacing w:line="245" w:lineRule="auto"/>
              <w:rPr>
                <w:rFonts w:ascii="Arial"/>
                <w:sz w:val="21"/>
              </w:rPr>
            </w:pPr>
          </w:p>
          <w:p w14:paraId="3418F2C7">
            <w:pPr>
              <w:spacing w:line="245" w:lineRule="auto"/>
              <w:rPr>
                <w:rFonts w:ascii="Arial"/>
                <w:sz w:val="21"/>
              </w:rPr>
            </w:pPr>
          </w:p>
          <w:p w14:paraId="28039BB2">
            <w:pPr>
              <w:pStyle w:val="5"/>
              <w:spacing w:before="58" w:line="204" w:lineRule="auto"/>
              <w:ind w:left="28" w:firstLine="10"/>
              <w:jc w:val="both"/>
            </w:pPr>
            <w:r>
              <w:rPr>
                <w:spacing w:val="3"/>
              </w:rPr>
              <w:t>一是严格现金管理，确保规范使用。依据财务制度，重新核定各小组备用现金额度，明确超出部分必须及时存入账户，严禁违规留存大额</w:t>
            </w:r>
            <w:r>
              <w:t>现金。二是强化监督审查。对小组财务现金情况进行检查</w:t>
            </w:r>
            <w:r>
              <w:rPr>
                <w:rFonts w:ascii="Times New Roman" w:hAnsi="Times New Roman" w:eastAsia="Times New Roman" w:cs="Times New Roman"/>
              </w:rPr>
              <w:t>1</w:t>
            </w:r>
            <w:r>
              <w:t>次，对违规</w:t>
            </w:r>
            <w:r>
              <w:rPr>
                <w:spacing w:val="3"/>
              </w:rPr>
              <w:t>行为严肃问责，确保制度执行到位。三是加强培训教育。组织财务人</w:t>
            </w:r>
            <w:r>
              <w:rPr>
                <w:spacing w:val="1"/>
              </w:rPr>
              <w:t>员学习制度</w:t>
            </w:r>
            <w:r>
              <w:rPr>
                <w:rFonts w:ascii="Times New Roman" w:hAnsi="Times New Roman" w:eastAsia="Times New Roman" w:cs="Times New Roman"/>
                <w:spacing w:val="1"/>
              </w:rPr>
              <w:t>1</w:t>
            </w:r>
            <w:r>
              <w:rPr>
                <w:spacing w:val="1"/>
              </w:rPr>
              <w:t>次，提升其规范操作意识与业务能</w:t>
            </w:r>
            <w:r>
              <w:t>力，从源头杜绝此类问</w:t>
            </w:r>
            <w:r>
              <w:rPr>
                <w:spacing w:val="-4"/>
              </w:rPr>
              <w:t>题。</w:t>
            </w:r>
          </w:p>
        </w:tc>
        <w:tc>
          <w:tcPr>
            <w:tcW w:w="929" w:type="dxa"/>
            <w:noWrap w:val="0"/>
            <w:vAlign w:val="top"/>
          </w:tcPr>
          <w:p w14:paraId="5DA812E9">
            <w:pPr>
              <w:rPr>
                <w:rFonts w:ascii="Arial"/>
                <w:sz w:val="21"/>
              </w:rPr>
            </w:pPr>
          </w:p>
        </w:tc>
      </w:tr>
      <w:tr w14:paraId="1CEB7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4" w:hRule="atLeast"/>
        </w:trPr>
        <w:tc>
          <w:tcPr>
            <w:tcW w:w="365" w:type="dxa"/>
            <w:noWrap w:val="0"/>
            <w:vAlign w:val="top"/>
          </w:tcPr>
          <w:p w14:paraId="331A22B0">
            <w:pPr>
              <w:spacing w:line="348" w:lineRule="auto"/>
              <w:rPr>
                <w:rFonts w:ascii="Arial"/>
                <w:sz w:val="21"/>
              </w:rPr>
            </w:pPr>
          </w:p>
          <w:p w14:paraId="5C4CCDE7">
            <w:pPr>
              <w:spacing w:line="349" w:lineRule="auto"/>
              <w:rPr>
                <w:rFonts w:ascii="Arial"/>
                <w:sz w:val="21"/>
              </w:rPr>
            </w:pPr>
          </w:p>
          <w:p w14:paraId="211EAC86">
            <w:pPr>
              <w:spacing w:before="46" w:line="190" w:lineRule="auto"/>
              <w:ind w:left="15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1395" w:type="dxa"/>
            <w:vMerge w:val="continue"/>
            <w:tcBorders>
              <w:top w:val="nil"/>
            </w:tcBorders>
            <w:noWrap w:val="0"/>
            <w:vAlign w:val="top"/>
          </w:tcPr>
          <w:p w14:paraId="7F093C48">
            <w:pPr>
              <w:rPr>
                <w:rFonts w:ascii="Arial"/>
                <w:sz w:val="21"/>
              </w:rPr>
            </w:pPr>
          </w:p>
        </w:tc>
        <w:tc>
          <w:tcPr>
            <w:tcW w:w="1959" w:type="dxa"/>
            <w:noWrap w:val="0"/>
            <w:vAlign w:val="top"/>
          </w:tcPr>
          <w:p w14:paraId="405AD63F">
            <w:pPr>
              <w:spacing w:line="327" w:lineRule="auto"/>
              <w:rPr>
                <w:rFonts w:ascii="Arial"/>
                <w:sz w:val="21"/>
              </w:rPr>
            </w:pPr>
          </w:p>
          <w:p w14:paraId="02FB7F66">
            <w:pPr>
              <w:spacing w:line="327" w:lineRule="auto"/>
              <w:rPr>
                <w:rFonts w:ascii="Arial"/>
                <w:sz w:val="21"/>
              </w:rPr>
            </w:pPr>
          </w:p>
          <w:p w14:paraId="5D862A68">
            <w:pPr>
              <w:pStyle w:val="5"/>
              <w:spacing w:before="58" w:line="233" w:lineRule="auto"/>
              <w:ind w:left="21"/>
            </w:pPr>
            <w:r>
              <w:rPr>
                <w:rFonts w:ascii="Times New Roman" w:hAnsi="Times New Roman" w:eastAsia="Times New Roman" w:cs="Times New Roman"/>
                <w:spacing w:val="2"/>
              </w:rPr>
              <w:t>2.</w:t>
            </w:r>
            <w:r>
              <w:rPr>
                <w:spacing w:val="2"/>
              </w:rPr>
              <w:t>锤炼严实工作作风。</w:t>
            </w:r>
          </w:p>
        </w:tc>
        <w:tc>
          <w:tcPr>
            <w:tcW w:w="4941" w:type="dxa"/>
            <w:noWrap w:val="0"/>
            <w:vAlign w:val="top"/>
          </w:tcPr>
          <w:p w14:paraId="63203D66">
            <w:pPr>
              <w:spacing w:line="355" w:lineRule="auto"/>
              <w:rPr>
                <w:rFonts w:ascii="Arial"/>
                <w:sz w:val="21"/>
              </w:rPr>
            </w:pPr>
          </w:p>
          <w:p w14:paraId="43D404C2">
            <w:pPr>
              <w:pStyle w:val="5"/>
              <w:spacing w:before="58" w:line="212" w:lineRule="auto"/>
              <w:ind w:left="27" w:firstLine="10"/>
              <w:jc w:val="both"/>
            </w:pPr>
            <w:r>
              <w:rPr>
                <w:spacing w:val="3"/>
              </w:rPr>
              <w:t>一是明确工作作风工作标准与流程，确保信息采集准确率、政策落实</w:t>
            </w:r>
            <w:r>
              <w:rPr>
                <w:spacing w:val="1"/>
              </w:rPr>
              <w:t>及时性。二是对村组干部开展转变工作作风业务培</w:t>
            </w:r>
            <w:r>
              <w:t>训</w:t>
            </w:r>
            <w:r>
              <w:rPr>
                <w:rFonts w:ascii="Times New Roman" w:hAnsi="Times New Roman" w:eastAsia="Times New Roman" w:cs="Times New Roman"/>
              </w:rPr>
              <w:t>1</w:t>
            </w:r>
            <w:r>
              <w:t>次，强化责任意</w:t>
            </w:r>
            <w:r>
              <w:rPr>
                <w:spacing w:val="2"/>
              </w:rPr>
              <w:t>识；</w:t>
            </w:r>
            <w:r>
              <w:rPr>
                <w:rFonts w:ascii="Times New Roman" w:hAnsi="Times New Roman" w:eastAsia="Times New Roman" w:cs="Times New Roman"/>
                <w:spacing w:val="2"/>
              </w:rPr>
              <w:t>2025</w:t>
            </w:r>
            <w:r>
              <w:rPr>
                <w:spacing w:val="2"/>
              </w:rPr>
              <w:t>年</w:t>
            </w:r>
            <w:r>
              <w:rPr>
                <w:rFonts w:ascii="Times New Roman" w:hAnsi="Times New Roman" w:eastAsia="Times New Roman" w:cs="Times New Roman"/>
                <w:spacing w:val="2"/>
              </w:rPr>
              <w:t>10</w:t>
            </w:r>
            <w:r>
              <w:rPr>
                <w:spacing w:val="2"/>
              </w:rPr>
              <w:t>月底前已完成未发放补贴人员的全面排查梳理，引导农</w:t>
            </w:r>
            <w:r>
              <w:rPr>
                <w:spacing w:val="1"/>
              </w:rPr>
              <w:t>户签订租赁协议，确保补贴精准发放。</w:t>
            </w:r>
          </w:p>
        </w:tc>
        <w:tc>
          <w:tcPr>
            <w:tcW w:w="929" w:type="dxa"/>
            <w:noWrap w:val="0"/>
            <w:vAlign w:val="top"/>
          </w:tcPr>
          <w:p w14:paraId="5CEC6AA6">
            <w:pPr>
              <w:rPr>
                <w:rFonts w:ascii="Arial"/>
                <w:sz w:val="21"/>
              </w:rPr>
            </w:pPr>
          </w:p>
        </w:tc>
      </w:tr>
      <w:tr w14:paraId="12C166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1" w:hRule="atLeast"/>
        </w:trPr>
        <w:tc>
          <w:tcPr>
            <w:tcW w:w="365" w:type="dxa"/>
            <w:noWrap w:val="0"/>
            <w:vAlign w:val="top"/>
          </w:tcPr>
          <w:p w14:paraId="110F2DAE">
            <w:pPr>
              <w:spacing w:line="255" w:lineRule="auto"/>
              <w:rPr>
                <w:rFonts w:ascii="Arial"/>
                <w:sz w:val="21"/>
              </w:rPr>
            </w:pPr>
          </w:p>
          <w:p w14:paraId="4A5AC284">
            <w:pPr>
              <w:spacing w:line="255" w:lineRule="auto"/>
              <w:rPr>
                <w:rFonts w:ascii="Arial"/>
                <w:sz w:val="21"/>
              </w:rPr>
            </w:pPr>
          </w:p>
          <w:p w14:paraId="4E08878A">
            <w:pPr>
              <w:spacing w:line="255" w:lineRule="auto"/>
              <w:rPr>
                <w:rFonts w:ascii="Arial"/>
                <w:sz w:val="21"/>
              </w:rPr>
            </w:pPr>
          </w:p>
          <w:p w14:paraId="7F9669FC">
            <w:pPr>
              <w:spacing w:line="255" w:lineRule="auto"/>
              <w:rPr>
                <w:rFonts w:ascii="Arial"/>
                <w:sz w:val="21"/>
              </w:rPr>
            </w:pPr>
          </w:p>
          <w:p w14:paraId="22C4E3C5">
            <w:pPr>
              <w:spacing w:line="256" w:lineRule="auto"/>
              <w:rPr>
                <w:rFonts w:ascii="Arial"/>
                <w:sz w:val="21"/>
              </w:rPr>
            </w:pPr>
          </w:p>
          <w:p w14:paraId="4A46205A">
            <w:pPr>
              <w:spacing w:line="256" w:lineRule="auto"/>
              <w:rPr>
                <w:rFonts w:ascii="Arial"/>
                <w:sz w:val="21"/>
              </w:rPr>
            </w:pPr>
          </w:p>
          <w:p w14:paraId="6A947EE7">
            <w:pPr>
              <w:spacing w:line="256" w:lineRule="auto"/>
              <w:rPr>
                <w:rFonts w:ascii="Arial"/>
                <w:sz w:val="21"/>
              </w:rPr>
            </w:pPr>
          </w:p>
          <w:p w14:paraId="5B9571E5">
            <w:pPr>
              <w:spacing w:before="46" w:line="190" w:lineRule="auto"/>
              <w:ind w:left="14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bottom w:val="nil"/>
            </w:tcBorders>
            <w:noWrap w:val="0"/>
            <w:vAlign w:val="top"/>
          </w:tcPr>
          <w:p w14:paraId="5E19D0B0">
            <w:pPr>
              <w:rPr>
                <w:rFonts w:ascii="Arial"/>
                <w:sz w:val="21"/>
              </w:rPr>
            </w:pPr>
          </w:p>
        </w:tc>
        <w:tc>
          <w:tcPr>
            <w:tcW w:w="1959" w:type="dxa"/>
            <w:noWrap w:val="0"/>
            <w:vAlign w:val="top"/>
          </w:tcPr>
          <w:p w14:paraId="33FD5B6A">
            <w:pPr>
              <w:spacing w:line="268" w:lineRule="auto"/>
              <w:rPr>
                <w:rFonts w:ascii="Arial"/>
                <w:sz w:val="21"/>
              </w:rPr>
            </w:pPr>
          </w:p>
          <w:p w14:paraId="49FFE9CE">
            <w:pPr>
              <w:spacing w:line="268" w:lineRule="auto"/>
              <w:rPr>
                <w:rFonts w:ascii="Arial"/>
                <w:sz w:val="21"/>
              </w:rPr>
            </w:pPr>
          </w:p>
          <w:p w14:paraId="417893F3">
            <w:pPr>
              <w:spacing w:line="268" w:lineRule="auto"/>
              <w:rPr>
                <w:rFonts w:ascii="Arial"/>
                <w:sz w:val="21"/>
              </w:rPr>
            </w:pPr>
          </w:p>
          <w:p w14:paraId="27E1EB4B">
            <w:pPr>
              <w:spacing w:line="269" w:lineRule="auto"/>
              <w:rPr>
                <w:rFonts w:ascii="Arial"/>
                <w:sz w:val="21"/>
              </w:rPr>
            </w:pPr>
          </w:p>
          <w:p w14:paraId="556AF083">
            <w:pPr>
              <w:spacing w:line="269" w:lineRule="auto"/>
              <w:rPr>
                <w:rFonts w:ascii="Arial"/>
                <w:sz w:val="21"/>
              </w:rPr>
            </w:pPr>
          </w:p>
          <w:p w14:paraId="5F5ADC43">
            <w:pPr>
              <w:spacing w:line="269" w:lineRule="auto"/>
              <w:rPr>
                <w:rFonts w:ascii="Arial"/>
                <w:sz w:val="21"/>
              </w:rPr>
            </w:pPr>
          </w:p>
          <w:p w14:paraId="55BA7C08">
            <w:pPr>
              <w:pStyle w:val="5"/>
              <w:spacing w:before="58" w:line="222" w:lineRule="auto"/>
              <w:ind w:left="28" w:right="13" w:firstLine="8"/>
            </w:pPr>
            <w:r>
              <w:rPr>
                <w:rFonts w:ascii="Times New Roman" w:hAnsi="Times New Roman" w:eastAsia="Times New Roman" w:cs="Times New Roman"/>
                <w:spacing w:val="1"/>
              </w:rPr>
              <w:t>1.</w:t>
            </w:r>
            <w:r>
              <w:rPr>
                <w:spacing w:val="1"/>
              </w:rPr>
              <w:t>严格落实党风廉政建设责</w:t>
            </w:r>
            <w:r>
              <w:rPr>
                <w:spacing w:val="-2"/>
              </w:rPr>
              <w:t>任制。</w:t>
            </w:r>
          </w:p>
        </w:tc>
        <w:tc>
          <w:tcPr>
            <w:tcW w:w="4941" w:type="dxa"/>
            <w:noWrap w:val="0"/>
            <w:vAlign w:val="top"/>
          </w:tcPr>
          <w:p w14:paraId="3E4A8926">
            <w:pPr>
              <w:spacing w:line="318" w:lineRule="auto"/>
              <w:rPr>
                <w:rFonts w:ascii="Arial"/>
                <w:sz w:val="21"/>
              </w:rPr>
            </w:pPr>
          </w:p>
          <w:p w14:paraId="7E205B48">
            <w:pPr>
              <w:spacing w:line="318" w:lineRule="auto"/>
              <w:rPr>
                <w:rFonts w:ascii="Arial"/>
                <w:sz w:val="21"/>
              </w:rPr>
            </w:pPr>
          </w:p>
          <w:p w14:paraId="6E642251">
            <w:pPr>
              <w:spacing w:line="319" w:lineRule="auto"/>
              <w:rPr>
                <w:rFonts w:ascii="Arial"/>
                <w:sz w:val="21"/>
              </w:rPr>
            </w:pPr>
          </w:p>
          <w:p w14:paraId="7170F202">
            <w:pPr>
              <w:pStyle w:val="5"/>
              <w:spacing w:before="58" w:line="208" w:lineRule="auto"/>
              <w:ind w:left="25" w:firstLine="12"/>
              <w:jc w:val="both"/>
            </w:pPr>
            <w:r>
              <w:rPr>
                <w:spacing w:val="2"/>
              </w:rPr>
              <w:t>一是强化责任落实。已召开会议明确村党总支党风廉政建</w:t>
            </w:r>
            <w:r>
              <w:rPr>
                <w:spacing w:val="1"/>
              </w:rPr>
              <w:t>设和反腐败</w:t>
            </w:r>
            <w:r>
              <w:rPr>
                <w:spacing w:val="-1"/>
              </w:rPr>
              <w:t>工作责任分工，细化任务到人，确保工作有人抓、有人管。在村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“</w:t>
            </w:r>
            <w:r>
              <w:rPr>
                <w:spacing w:val="-1"/>
              </w:rPr>
              <w:t>两委</w:t>
            </w:r>
            <w:r>
              <w:rPr>
                <w:rFonts w:ascii="Times New Roman" w:hAnsi="Times New Roman" w:eastAsia="Times New Roman" w:cs="Times New Roman"/>
                <w:spacing w:val="1"/>
              </w:rPr>
              <w:t>”</w:t>
            </w:r>
            <w:r>
              <w:rPr>
                <w:spacing w:val="1"/>
              </w:rPr>
              <w:t>班子会和党员大会上公开通报违规违纪违法典型案例</w:t>
            </w:r>
            <w:r>
              <w:rPr>
                <w:rFonts w:ascii="Times New Roman" w:hAnsi="Times New Roman" w:eastAsia="Times New Roman" w:cs="Times New Roman"/>
                <w:spacing w:val="1"/>
              </w:rPr>
              <w:t>2</w:t>
            </w:r>
            <w:r>
              <w:rPr>
                <w:spacing w:val="1"/>
              </w:rPr>
              <w:t>次，用</w:t>
            </w:r>
            <w:r>
              <w:t>身边事</w:t>
            </w:r>
            <w:r>
              <w:rPr>
                <w:spacing w:val="2"/>
              </w:rPr>
              <w:t>教育身边人。二是明确监督内容、流程与职责，定期召开监督会议，规范记录监督事项，杜绝监督缺位、错位、滞后，</w:t>
            </w:r>
            <w:r>
              <w:rPr>
                <w:rFonts w:ascii="Times New Roman" w:hAnsi="Times New Roman" w:eastAsia="Times New Roman" w:cs="Times New Roman"/>
                <w:spacing w:val="2"/>
              </w:rPr>
              <w:t>2025</w:t>
            </w:r>
            <w:r>
              <w:rPr>
                <w:spacing w:val="2"/>
              </w:rPr>
              <w:t>年收到反馈问</w:t>
            </w:r>
            <w:r>
              <w:rPr>
                <w:spacing w:val="-1"/>
              </w:rPr>
              <w:t>题后立即召开监督会议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</w:t>
            </w:r>
            <w:r>
              <w:rPr>
                <w:spacing w:val="-1"/>
              </w:rPr>
              <w:t>次。组织监督委员参加廉政培训，提升其对党</w:t>
            </w:r>
            <w:r>
              <w:rPr>
                <w:spacing w:val="2"/>
              </w:rPr>
              <w:t>风廉政建设的思考与谋划能力，认真开展廉政风险隐患排查，制定切实防范措施。丰富廉政谈话形式与内容，每年更新谈话提</w:t>
            </w:r>
            <w:r>
              <w:rPr>
                <w:spacing w:val="1"/>
              </w:rPr>
              <w:t>纲；</w:t>
            </w:r>
            <w:r>
              <w:rPr>
                <w:rFonts w:ascii="Times New Roman" w:hAnsi="Times New Roman" w:eastAsia="Times New Roman" w:cs="Times New Roman"/>
                <w:spacing w:val="1"/>
              </w:rPr>
              <w:t>2025</w:t>
            </w:r>
            <w:r>
              <w:rPr>
                <w:spacing w:val="1"/>
              </w:rPr>
              <w:t>年</w:t>
            </w:r>
            <w:r>
              <w:t>已重新撰写党风廉政建设总结，确保内容真实准</w:t>
            </w:r>
            <w:r>
              <w:rPr>
                <w:spacing w:val="-1"/>
              </w:rPr>
              <w:t>确。</w:t>
            </w:r>
          </w:p>
        </w:tc>
        <w:tc>
          <w:tcPr>
            <w:tcW w:w="929" w:type="dxa"/>
            <w:noWrap w:val="0"/>
            <w:vAlign w:val="top"/>
          </w:tcPr>
          <w:p w14:paraId="5B8527B8">
            <w:pPr>
              <w:rPr>
                <w:rFonts w:ascii="Arial"/>
                <w:sz w:val="21"/>
              </w:rPr>
            </w:pPr>
          </w:p>
        </w:tc>
      </w:tr>
    </w:tbl>
    <w:p w14:paraId="70E54ED8">
      <w:pPr>
        <w:rPr>
          <w:rFonts w:ascii="Arial"/>
          <w:sz w:val="21"/>
        </w:rPr>
      </w:pPr>
    </w:p>
    <w:p w14:paraId="64826A25">
      <w:pPr>
        <w:rPr>
          <w:rFonts w:ascii="Arial" w:hAnsi="Arial" w:eastAsia="Arial" w:cs="Arial"/>
          <w:sz w:val="21"/>
          <w:szCs w:val="21"/>
        </w:rPr>
        <w:sectPr>
          <w:pgSz w:w="11905" w:h="16837"/>
          <w:pgMar w:top="1431" w:right="1227" w:bottom="0" w:left="1077" w:header="850" w:footer="992" w:gutter="0"/>
          <w:pgNumType w:fmt="decimal"/>
          <w:cols w:space="720" w:num="1"/>
        </w:sectPr>
      </w:pPr>
    </w:p>
    <w:p w14:paraId="5309AF28">
      <w:pPr>
        <w:spacing w:line="67" w:lineRule="auto"/>
        <w:rPr>
          <w:rFonts w:ascii="Arial"/>
          <w:sz w:val="2"/>
        </w:rPr>
      </w:pPr>
    </w:p>
    <w:tbl>
      <w:tblPr>
        <w:tblStyle w:val="4"/>
        <w:tblW w:w="95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"/>
        <w:gridCol w:w="1395"/>
        <w:gridCol w:w="1959"/>
        <w:gridCol w:w="4941"/>
        <w:gridCol w:w="929"/>
      </w:tblGrid>
      <w:tr w14:paraId="031A3D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6" w:hRule="atLeast"/>
        </w:trPr>
        <w:tc>
          <w:tcPr>
            <w:tcW w:w="365" w:type="dxa"/>
            <w:noWrap w:val="0"/>
            <w:vAlign w:val="top"/>
          </w:tcPr>
          <w:p w14:paraId="7F149768">
            <w:pPr>
              <w:spacing w:line="264" w:lineRule="auto"/>
              <w:rPr>
                <w:rFonts w:ascii="Arial"/>
                <w:sz w:val="21"/>
              </w:rPr>
            </w:pPr>
          </w:p>
          <w:p w14:paraId="58F10D3A">
            <w:pPr>
              <w:spacing w:line="264" w:lineRule="auto"/>
              <w:rPr>
                <w:rFonts w:ascii="Arial"/>
                <w:sz w:val="21"/>
              </w:rPr>
            </w:pPr>
          </w:p>
          <w:p w14:paraId="0058F153">
            <w:pPr>
              <w:spacing w:line="264" w:lineRule="auto"/>
              <w:rPr>
                <w:rFonts w:ascii="Arial"/>
                <w:sz w:val="21"/>
              </w:rPr>
            </w:pPr>
          </w:p>
          <w:p w14:paraId="737E2BE4">
            <w:pPr>
              <w:spacing w:line="264" w:lineRule="auto"/>
              <w:rPr>
                <w:rFonts w:ascii="Arial"/>
                <w:sz w:val="21"/>
              </w:rPr>
            </w:pPr>
          </w:p>
          <w:p w14:paraId="4C2DDF6A">
            <w:pPr>
              <w:spacing w:line="265" w:lineRule="auto"/>
              <w:rPr>
                <w:rFonts w:ascii="Arial"/>
                <w:sz w:val="21"/>
              </w:rPr>
            </w:pPr>
          </w:p>
          <w:p w14:paraId="3B39F93B">
            <w:pPr>
              <w:spacing w:line="265" w:lineRule="auto"/>
              <w:rPr>
                <w:rFonts w:ascii="Arial"/>
                <w:sz w:val="21"/>
              </w:rPr>
            </w:pPr>
          </w:p>
          <w:p w14:paraId="31B4BABA">
            <w:pPr>
              <w:spacing w:line="265" w:lineRule="auto"/>
              <w:rPr>
                <w:rFonts w:ascii="Arial"/>
                <w:sz w:val="21"/>
              </w:rPr>
            </w:pPr>
          </w:p>
          <w:p w14:paraId="5FE94BD4">
            <w:pPr>
              <w:spacing w:line="265" w:lineRule="auto"/>
              <w:rPr>
                <w:rFonts w:ascii="Arial"/>
                <w:sz w:val="21"/>
              </w:rPr>
            </w:pPr>
          </w:p>
          <w:p w14:paraId="2CE9D3C3">
            <w:pPr>
              <w:spacing w:line="265" w:lineRule="auto"/>
              <w:rPr>
                <w:rFonts w:ascii="Arial"/>
                <w:sz w:val="21"/>
              </w:rPr>
            </w:pPr>
          </w:p>
          <w:p w14:paraId="6352B9C0">
            <w:pPr>
              <w:spacing w:before="46" w:line="190" w:lineRule="auto"/>
              <w:ind w:left="11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16"/>
                <w:szCs w:val="16"/>
              </w:rPr>
              <w:t>10</w:t>
            </w:r>
          </w:p>
        </w:tc>
        <w:tc>
          <w:tcPr>
            <w:tcW w:w="1395" w:type="dxa"/>
            <w:vMerge w:val="restart"/>
            <w:tcBorders>
              <w:top w:val="nil"/>
              <w:bottom w:val="nil"/>
            </w:tcBorders>
            <w:noWrap w:val="0"/>
            <w:vAlign w:val="top"/>
          </w:tcPr>
          <w:p w14:paraId="0FFC4F29">
            <w:pPr>
              <w:spacing w:line="244" w:lineRule="auto"/>
              <w:rPr>
                <w:rFonts w:ascii="Arial"/>
                <w:sz w:val="21"/>
              </w:rPr>
            </w:pPr>
          </w:p>
          <w:p w14:paraId="568C83A7">
            <w:pPr>
              <w:spacing w:line="244" w:lineRule="auto"/>
              <w:rPr>
                <w:rFonts w:ascii="Arial"/>
                <w:sz w:val="21"/>
              </w:rPr>
            </w:pPr>
          </w:p>
          <w:p w14:paraId="05096587">
            <w:pPr>
              <w:spacing w:line="244" w:lineRule="auto"/>
              <w:rPr>
                <w:rFonts w:ascii="Arial"/>
                <w:sz w:val="21"/>
              </w:rPr>
            </w:pPr>
          </w:p>
          <w:p w14:paraId="4FF07750">
            <w:pPr>
              <w:spacing w:line="244" w:lineRule="auto"/>
              <w:rPr>
                <w:rFonts w:ascii="Arial"/>
                <w:sz w:val="21"/>
              </w:rPr>
            </w:pPr>
          </w:p>
          <w:p w14:paraId="7FFC3149">
            <w:pPr>
              <w:spacing w:line="245" w:lineRule="auto"/>
              <w:rPr>
                <w:rFonts w:ascii="Arial"/>
                <w:sz w:val="21"/>
              </w:rPr>
            </w:pPr>
          </w:p>
          <w:p w14:paraId="1709F3EC">
            <w:pPr>
              <w:spacing w:line="245" w:lineRule="auto"/>
              <w:rPr>
                <w:rFonts w:ascii="Arial"/>
                <w:sz w:val="21"/>
              </w:rPr>
            </w:pPr>
          </w:p>
          <w:p w14:paraId="1DF42325">
            <w:pPr>
              <w:spacing w:line="245" w:lineRule="auto"/>
              <w:rPr>
                <w:rFonts w:ascii="Arial"/>
                <w:sz w:val="21"/>
              </w:rPr>
            </w:pPr>
          </w:p>
          <w:p w14:paraId="2E1C2E26">
            <w:pPr>
              <w:spacing w:line="245" w:lineRule="auto"/>
              <w:rPr>
                <w:rFonts w:ascii="Arial"/>
                <w:sz w:val="21"/>
              </w:rPr>
            </w:pPr>
          </w:p>
          <w:p w14:paraId="3360C6EE">
            <w:pPr>
              <w:spacing w:line="245" w:lineRule="auto"/>
              <w:rPr>
                <w:rFonts w:ascii="Arial"/>
                <w:sz w:val="21"/>
              </w:rPr>
            </w:pPr>
          </w:p>
          <w:p w14:paraId="2E3E7FB6">
            <w:pPr>
              <w:pStyle w:val="5"/>
              <w:spacing w:before="58" w:line="210" w:lineRule="auto"/>
              <w:ind w:left="25" w:right="64" w:firstLine="20"/>
              <w:jc w:val="both"/>
            </w:pPr>
            <w:r>
              <w:rPr>
                <w:spacing w:val="-2"/>
              </w:rPr>
              <w:t>四、关于管党治党</w:t>
            </w:r>
            <w:r>
              <w:rPr>
                <w:spacing w:val="1"/>
              </w:rPr>
              <w:t>工作方面的整改进</w:t>
            </w:r>
            <w:r>
              <w:rPr>
                <w:spacing w:val="-1"/>
              </w:rPr>
              <w:t>展情况</w:t>
            </w:r>
          </w:p>
        </w:tc>
        <w:tc>
          <w:tcPr>
            <w:tcW w:w="1959" w:type="dxa"/>
            <w:noWrap w:val="0"/>
            <w:vAlign w:val="top"/>
          </w:tcPr>
          <w:p w14:paraId="14BD2F02">
            <w:pPr>
              <w:spacing w:line="260" w:lineRule="auto"/>
              <w:rPr>
                <w:rFonts w:ascii="Arial"/>
                <w:sz w:val="21"/>
              </w:rPr>
            </w:pPr>
          </w:p>
          <w:p w14:paraId="08856D8B">
            <w:pPr>
              <w:spacing w:line="260" w:lineRule="auto"/>
              <w:rPr>
                <w:rFonts w:ascii="Arial"/>
                <w:sz w:val="21"/>
              </w:rPr>
            </w:pPr>
          </w:p>
          <w:p w14:paraId="2CFE906A">
            <w:pPr>
              <w:spacing w:line="260" w:lineRule="auto"/>
              <w:rPr>
                <w:rFonts w:ascii="Arial"/>
                <w:sz w:val="21"/>
              </w:rPr>
            </w:pPr>
          </w:p>
          <w:p w14:paraId="24F29143">
            <w:pPr>
              <w:spacing w:line="260" w:lineRule="auto"/>
              <w:rPr>
                <w:rFonts w:ascii="Arial"/>
                <w:sz w:val="21"/>
              </w:rPr>
            </w:pPr>
          </w:p>
          <w:p w14:paraId="654AE71F">
            <w:pPr>
              <w:spacing w:line="260" w:lineRule="auto"/>
              <w:rPr>
                <w:rFonts w:ascii="Arial"/>
                <w:sz w:val="21"/>
              </w:rPr>
            </w:pPr>
          </w:p>
          <w:p w14:paraId="706A1528">
            <w:pPr>
              <w:spacing w:line="260" w:lineRule="auto"/>
              <w:rPr>
                <w:rFonts w:ascii="Arial"/>
                <w:sz w:val="21"/>
              </w:rPr>
            </w:pPr>
          </w:p>
          <w:p w14:paraId="3A83AE7C">
            <w:pPr>
              <w:spacing w:line="260" w:lineRule="auto"/>
              <w:rPr>
                <w:rFonts w:ascii="Arial"/>
                <w:sz w:val="21"/>
              </w:rPr>
            </w:pPr>
          </w:p>
          <w:p w14:paraId="4BE87BF0">
            <w:pPr>
              <w:spacing w:line="260" w:lineRule="auto"/>
              <w:rPr>
                <w:rFonts w:ascii="Arial"/>
                <w:sz w:val="21"/>
              </w:rPr>
            </w:pPr>
          </w:p>
          <w:p w14:paraId="13295EED">
            <w:pPr>
              <w:spacing w:line="261" w:lineRule="auto"/>
              <w:rPr>
                <w:rFonts w:ascii="Arial"/>
                <w:sz w:val="21"/>
              </w:rPr>
            </w:pPr>
          </w:p>
          <w:p w14:paraId="76B7035F">
            <w:pPr>
              <w:pStyle w:val="5"/>
              <w:spacing w:before="58" w:line="235" w:lineRule="auto"/>
              <w:ind w:left="21"/>
            </w:pPr>
            <w:r>
              <w:rPr>
                <w:rFonts w:ascii="Times New Roman" w:hAnsi="Times New Roman" w:eastAsia="Times New Roman" w:cs="Times New Roman"/>
                <w:spacing w:val="2"/>
              </w:rPr>
              <w:t>2.</w:t>
            </w:r>
            <w:r>
              <w:rPr>
                <w:spacing w:val="2"/>
              </w:rPr>
              <w:t>加强基层党组织建设。</w:t>
            </w:r>
          </w:p>
        </w:tc>
        <w:tc>
          <w:tcPr>
            <w:tcW w:w="4941" w:type="dxa"/>
            <w:noWrap w:val="0"/>
            <w:vAlign w:val="top"/>
          </w:tcPr>
          <w:p w14:paraId="7E02508F">
            <w:pPr>
              <w:spacing w:line="249" w:lineRule="auto"/>
              <w:rPr>
                <w:rFonts w:ascii="Arial"/>
                <w:sz w:val="21"/>
              </w:rPr>
            </w:pPr>
          </w:p>
          <w:p w14:paraId="5CFD8C55">
            <w:pPr>
              <w:spacing w:line="249" w:lineRule="auto"/>
              <w:rPr>
                <w:rFonts w:ascii="Arial"/>
                <w:sz w:val="21"/>
              </w:rPr>
            </w:pPr>
          </w:p>
          <w:p w14:paraId="318D691F">
            <w:pPr>
              <w:spacing w:line="249" w:lineRule="auto"/>
              <w:rPr>
                <w:rFonts w:ascii="Arial"/>
                <w:sz w:val="21"/>
              </w:rPr>
            </w:pPr>
          </w:p>
          <w:p w14:paraId="71AC91CA">
            <w:pPr>
              <w:spacing w:line="250" w:lineRule="auto"/>
              <w:rPr>
                <w:rFonts w:ascii="Arial"/>
                <w:sz w:val="21"/>
              </w:rPr>
            </w:pPr>
          </w:p>
          <w:p w14:paraId="34ABAB7D">
            <w:pPr>
              <w:spacing w:line="250" w:lineRule="auto"/>
              <w:rPr>
                <w:rFonts w:ascii="Arial"/>
                <w:sz w:val="21"/>
              </w:rPr>
            </w:pPr>
          </w:p>
          <w:p w14:paraId="70176B92">
            <w:pPr>
              <w:pStyle w:val="5"/>
              <w:spacing w:before="58" w:line="209" w:lineRule="auto"/>
              <w:ind w:left="25" w:firstLine="12"/>
              <w:jc w:val="both"/>
            </w:pPr>
            <w:r>
              <w:t>一是加强思想教育，定期开展专题学习与培训</w:t>
            </w:r>
            <w:r>
              <w:rPr>
                <w:rFonts w:ascii="Times New Roman" w:hAnsi="Times New Roman" w:eastAsia="Times New Roman" w:cs="Times New Roman"/>
              </w:rPr>
              <w:t>2</w:t>
            </w:r>
            <w:r>
              <w:t>次，强化党员理想信念</w:t>
            </w:r>
            <w:r>
              <w:rPr>
                <w:spacing w:val="3"/>
              </w:rPr>
              <w:t>。对党员思想动态进行分析，通过谈心谈话等方式，及时掌握党员表</w:t>
            </w:r>
            <w:r>
              <w:rPr>
                <w:spacing w:val="2"/>
              </w:rPr>
              <w:t>现，针对性引导教育。二是拓宽入党积极分子来源渠道，光头山二组</w:t>
            </w:r>
            <w:r>
              <w:rPr>
                <w:spacing w:val="3"/>
              </w:rPr>
              <w:t>已经及时储备积极分子，确保党员队伍不断层。三是定期检查党务工</w:t>
            </w:r>
            <w:r>
              <w:rPr>
                <w:spacing w:val="-1"/>
              </w:rPr>
              <w:t>作，对不规范、不及时情况及时督促整改。目前已及时规范的开展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“</w:t>
            </w:r>
            <w:r>
              <w:rPr>
                <w:spacing w:val="-1"/>
              </w:rPr>
              <w:t>三会一课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”</w:t>
            </w:r>
            <w:r>
              <w:rPr>
                <w:spacing w:val="-1"/>
              </w:rPr>
              <w:t>和支部主题党日活动。三会一课：支部委员会每月一次、党员</w:t>
            </w:r>
            <w:r>
              <w:rPr>
                <w:spacing w:val="-2"/>
              </w:rPr>
              <w:t>大会一季度一次、党课一季度一次，主题党日活动每月一次。四是强</w:t>
            </w:r>
            <w:r>
              <w:rPr>
                <w:spacing w:val="2"/>
              </w:rPr>
              <w:t>化</w:t>
            </w:r>
            <w:r>
              <w:rPr>
                <w:rFonts w:ascii="Times New Roman" w:hAnsi="Times New Roman" w:eastAsia="Times New Roman" w:cs="Times New Roman"/>
                <w:spacing w:val="2"/>
              </w:rPr>
              <w:t>“</w:t>
            </w:r>
            <w:r>
              <w:rPr>
                <w:spacing w:val="2"/>
              </w:rPr>
              <w:t>四议两公开</w:t>
            </w:r>
            <w:r>
              <w:rPr>
                <w:rFonts w:ascii="Times New Roman" w:hAnsi="Times New Roman" w:eastAsia="Times New Roman" w:cs="Times New Roman"/>
                <w:spacing w:val="2"/>
              </w:rPr>
              <w:t>”</w:t>
            </w:r>
            <w:r>
              <w:rPr>
                <w:spacing w:val="2"/>
              </w:rPr>
              <w:t>。针对村级重大事项，明确流程与责任人，确保每一</w:t>
            </w:r>
            <w:r>
              <w:rPr>
                <w:spacing w:val="1"/>
              </w:rPr>
              <w:t>步都按要求公开公示，留存完整资料备查。五是督促</w:t>
            </w:r>
            <w:r>
              <w:rPr>
                <w:rFonts w:ascii="Times New Roman" w:hAnsi="Times New Roman" w:eastAsia="Times New Roman" w:cs="Times New Roman"/>
                <w:spacing w:val="1"/>
              </w:rPr>
              <w:t>“</w:t>
            </w:r>
            <w:r>
              <w:rPr>
                <w:spacing w:val="1"/>
              </w:rPr>
              <w:t>一事一议</w:t>
            </w:r>
            <w:r>
              <w:rPr>
                <w:rFonts w:ascii="Times New Roman" w:hAnsi="Times New Roman" w:eastAsia="Times New Roman" w:cs="Times New Roman"/>
                <w:spacing w:val="1"/>
              </w:rPr>
              <w:t>”</w:t>
            </w:r>
            <w:r>
              <w:rPr>
                <w:spacing w:val="1"/>
              </w:rPr>
              <w:t>。加强对小组集体资产事务的监督，安排专人指导</w:t>
            </w:r>
            <w:r>
              <w:t>小组规范执行</w:t>
            </w:r>
            <w:r>
              <w:rPr>
                <w:rFonts w:ascii="Times New Roman" w:hAnsi="Times New Roman" w:eastAsia="Times New Roman" w:cs="Times New Roman"/>
              </w:rPr>
              <w:t>“</w:t>
            </w:r>
            <w:r>
              <w:t>一事一议</w:t>
            </w:r>
            <w:r>
              <w:rPr>
                <w:rFonts w:ascii="Times New Roman" w:hAnsi="Times New Roman" w:eastAsia="Times New Roman" w:cs="Times New Roman"/>
              </w:rPr>
              <w:t>”</w:t>
            </w:r>
            <w:r>
              <w:t>,保障群众各项权利。目前已严格按照要求执行末位表态、</w:t>
            </w:r>
            <w:r>
              <w:rPr>
                <w:rFonts w:ascii="Times New Roman" w:hAnsi="Times New Roman" w:eastAsia="Times New Roman" w:cs="Times New Roman"/>
              </w:rPr>
              <w:t>“</w:t>
            </w:r>
            <w:r>
              <w:t>四议两公开</w:t>
            </w:r>
            <w:r>
              <w:rPr>
                <w:rFonts w:ascii="Times New Roman" w:hAnsi="Times New Roman" w:eastAsia="Times New Roman" w:cs="Times New Roman"/>
              </w:rPr>
              <w:t>”</w:t>
            </w:r>
            <w:r>
              <w:t>制度，按要求督促小组规范执行</w:t>
            </w:r>
            <w:r>
              <w:rPr>
                <w:rFonts w:ascii="Times New Roman" w:hAnsi="Times New Roman" w:eastAsia="Times New Roman" w:cs="Times New Roman"/>
              </w:rPr>
              <w:t>“</w:t>
            </w:r>
            <w:r>
              <w:t>一事一议</w:t>
            </w:r>
            <w:r>
              <w:rPr>
                <w:rFonts w:ascii="Times New Roman" w:hAnsi="Times New Roman" w:eastAsia="Times New Roman" w:cs="Times New Roman"/>
              </w:rPr>
              <w:t>”</w:t>
            </w:r>
            <w:r>
              <w:t>制度。</w:t>
            </w:r>
          </w:p>
        </w:tc>
        <w:tc>
          <w:tcPr>
            <w:tcW w:w="929" w:type="dxa"/>
            <w:noWrap w:val="0"/>
            <w:vAlign w:val="top"/>
          </w:tcPr>
          <w:p w14:paraId="0882A44E">
            <w:pPr>
              <w:rPr>
                <w:rFonts w:ascii="Arial"/>
                <w:sz w:val="21"/>
              </w:rPr>
            </w:pPr>
          </w:p>
        </w:tc>
      </w:tr>
      <w:tr w14:paraId="2F50CD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2" w:hRule="atLeast"/>
        </w:trPr>
        <w:tc>
          <w:tcPr>
            <w:tcW w:w="365" w:type="dxa"/>
            <w:noWrap w:val="0"/>
            <w:vAlign w:val="top"/>
          </w:tcPr>
          <w:p w14:paraId="6E019BD6">
            <w:pPr>
              <w:spacing w:line="276" w:lineRule="auto"/>
              <w:rPr>
                <w:rFonts w:ascii="Arial"/>
                <w:sz w:val="21"/>
              </w:rPr>
            </w:pPr>
          </w:p>
          <w:p w14:paraId="4DA9232B">
            <w:pPr>
              <w:spacing w:line="277" w:lineRule="auto"/>
              <w:rPr>
                <w:rFonts w:ascii="Arial"/>
                <w:sz w:val="21"/>
              </w:rPr>
            </w:pPr>
          </w:p>
          <w:p w14:paraId="36D96A9F">
            <w:pPr>
              <w:spacing w:line="277" w:lineRule="auto"/>
              <w:rPr>
                <w:rFonts w:ascii="Arial"/>
                <w:sz w:val="21"/>
              </w:rPr>
            </w:pPr>
          </w:p>
          <w:p w14:paraId="761CCAED">
            <w:pPr>
              <w:spacing w:line="277" w:lineRule="auto"/>
              <w:rPr>
                <w:rFonts w:ascii="Arial"/>
                <w:sz w:val="21"/>
              </w:rPr>
            </w:pPr>
          </w:p>
          <w:p w14:paraId="03F55323">
            <w:pPr>
              <w:spacing w:line="277" w:lineRule="auto"/>
              <w:rPr>
                <w:rFonts w:ascii="Arial"/>
                <w:sz w:val="21"/>
              </w:rPr>
            </w:pPr>
          </w:p>
          <w:p w14:paraId="7D653749">
            <w:pPr>
              <w:spacing w:before="46" w:line="191" w:lineRule="auto"/>
              <w:ind w:left="11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16"/>
                <w:szCs w:val="16"/>
              </w:rPr>
              <w:t>11</w:t>
            </w:r>
          </w:p>
        </w:tc>
        <w:tc>
          <w:tcPr>
            <w:tcW w:w="1395" w:type="dxa"/>
            <w:vMerge w:val="continue"/>
            <w:tcBorders>
              <w:top w:val="nil"/>
            </w:tcBorders>
            <w:noWrap w:val="0"/>
            <w:vAlign w:val="top"/>
          </w:tcPr>
          <w:p w14:paraId="5C925556">
            <w:pPr>
              <w:rPr>
                <w:rFonts w:ascii="Arial"/>
                <w:sz w:val="21"/>
              </w:rPr>
            </w:pPr>
          </w:p>
        </w:tc>
        <w:tc>
          <w:tcPr>
            <w:tcW w:w="1959" w:type="dxa"/>
            <w:noWrap w:val="0"/>
            <w:vAlign w:val="top"/>
          </w:tcPr>
          <w:p w14:paraId="6C005E12">
            <w:pPr>
              <w:spacing w:line="257" w:lineRule="auto"/>
              <w:rPr>
                <w:rFonts w:ascii="Arial"/>
                <w:sz w:val="21"/>
              </w:rPr>
            </w:pPr>
          </w:p>
          <w:p w14:paraId="3E2B6793">
            <w:pPr>
              <w:spacing w:line="257" w:lineRule="auto"/>
              <w:rPr>
                <w:rFonts w:ascii="Arial"/>
                <w:sz w:val="21"/>
              </w:rPr>
            </w:pPr>
          </w:p>
          <w:p w14:paraId="1E524907">
            <w:pPr>
              <w:spacing w:line="257" w:lineRule="auto"/>
              <w:rPr>
                <w:rFonts w:ascii="Arial"/>
                <w:sz w:val="21"/>
              </w:rPr>
            </w:pPr>
          </w:p>
          <w:p w14:paraId="04B7EEE8">
            <w:pPr>
              <w:spacing w:line="257" w:lineRule="auto"/>
              <w:rPr>
                <w:rFonts w:ascii="Arial"/>
                <w:sz w:val="21"/>
              </w:rPr>
            </w:pPr>
          </w:p>
          <w:p w14:paraId="1C4ACD6F">
            <w:pPr>
              <w:spacing w:line="258" w:lineRule="auto"/>
              <w:rPr>
                <w:rFonts w:ascii="Arial"/>
                <w:sz w:val="21"/>
              </w:rPr>
            </w:pPr>
          </w:p>
          <w:p w14:paraId="51F9E6BD">
            <w:pPr>
              <w:pStyle w:val="5"/>
              <w:spacing w:before="58" w:line="233" w:lineRule="auto"/>
              <w:ind w:left="24"/>
            </w:pPr>
            <w:r>
              <w:rPr>
                <w:rFonts w:ascii="Times New Roman" w:hAnsi="Times New Roman" w:eastAsia="Times New Roman" w:cs="Times New Roman"/>
                <w:spacing w:val="1"/>
              </w:rPr>
              <w:t>3.</w:t>
            </w:r>
            <w:r>
              <w:rPr>
                <w:spacing w:val="1"/>
              </w:rPr>
              <w:t>严肃党内政治生活。</w:t>
            </w:r>
          </w:p>
        </w:tc>
        <w:tc>
          <w:tcPr>
            <w:tcW w:w="4941" w:type="dxa"/>
            <w:noWrap w:val="0"/>
            <w:vAlign w:val="top"/>
          </w:tcPr>
          <w:p w14:paraId="3147001C">
            <w:pPr>
              <w:spacing w:line="340" w:lineRule="auto"/>
              <w:rPr>
                <w:rFonts w:ascii="Arial"/>
                <w:sz w:val="21"/>
              </w:rPr>
            </w:pPr>
          </w:p>
          <w:p w14:paraId="5C4B050C">
            <w:pPr>
              <w:spacing w:line="341" w:lineRule="auto"/>
              <w:rPr>
                <w:rFonts w:ascii="Arial"/>
                <w:sz w:val="21"/>
              </w:rPr>
            </w:pPr>
          </w:p>
          <w:p w14:paraId="1B6CD92B">
            <w:pPr>
              <w:pStyle w:val="5"/>
              <w:spacing w:before="58" w:line="202" w:lineRule="auto"/>
              <w:ind w:left="27" w:firstLine="11"/>
              <w:jc w:val="both"/>
            </w:pPr>
            <w:r>
              <w:t>一是规范</w:t>
            </w:r>
            <w:r>
              <w:rPr>
                <w:rFonts w:ascii="Times New Roman" w:hAnsi="Times New Roman" w:eastAsia="Times New Roman" w:cs="Times New Roman"/>
              </w:rPr>
              <w:t>“</w:t>
            </w:r>
            <w:r>
              <w:t>三会一课</w:t>
            </w:r>
            <w:r>
              <w:rPr>
                <w:rFonts w:ascii="Times New Roman" w:hAnsi="Times New Roman" w:eastAsia="Times New Roman" w:cs="Times New Roman"/>
              </w:rPr>
              <w:t>”</w:t>
            </w:r>
            <w:r>
              <w:t>。明确主题党日固定环节，要求各党支部严格按</w:t>
            </w:r>
            <w:r>
              <w:rPr>
                <w:spacing w:val="3"/>
              </w:rPr>
              <w:t>标准开展，杜绝内容缺失。二是严格监督检查。定期检查各党支部会议记录、照片等资料，严肃处理重复使用照片等弄虚作假行</w:t>
            </w:r>
            <w:r>
              <w:rPr>
                <w:spacing w:val="2"/>
              </w:rPr>
              <w:t>为，确保</w:t>
            </w:r>
            <w:r>
              <w:rPr>
                <w:spacing w:val="-2"/>
              </w:rPr>
              <w:t>会议实效。目前各党支部主题党日已将学习党章、重温入党誓词、交</w:t>
            </w:r>
            <w:r>
              <w:rPr>
                <w:spacing w:val="3"/>
              </w:rPr>
              <w:t>纳党费情况等纳入活动内容。三是加强思想教育引导。通过专题党课、案例分析等方式，让党员深刻认识组织生活会严肃性，摒弃应付心</w:t>
            </w:r>
            <w:r>
              <w:rPr>
                <w:spacing w:val="1"/>
              </w:rPr>
              <w:t>态，增强认真参与的自觉性。四是强化监督问责力度。对搞形式走过</w:t>
            </w:r>
            <w:r>
              <w:t>场的党支部及责任人严肃批评，责令整改。</w:t>
            </w:r>
          </w:p>
        </w:tc>
        <w:tc>
          <w:tcPr>
            <w:tcW w:w="929" w:type="dxa"/>
            <w:noWrap w:val="0"/>
            <w:vAlign w:val="top"/>
          </w:tcPr>
          <w:p w14:paraId="17BBE45B">
            <w:pPr>
              <w:rPr>
                <w:rFonts w:ascii="Arial"/>
                <w:sz w:val="21"/>
              </w:rPr>
            </w:pPr>
          </w:p>
        </w:tc>
      </w:tr>
    </w:tbl>
    <w:p w14:paraId="4141354E">
      <w:pPr>
        <w:rPr>
          <w:rFonts w:ascii="Arial"/>
          <w:sz w:val="21"/>
        </w:rPr>
      </w:pPr>
    </w:p>
    <w:p w14:paraId="0403A8C1">
      <w:pPr>
        <w:spacing w:before="50"/>
        <w:ind w:left="62"/>
        <w:rPr>
          <w:rFonts w:ascii="方正黑体简体" w:hAnsi="方正黑体简体" w:eastAsia="方正黑体简体" w:cs="方正黑体简体"/>
          <w:spacing w:val="3"/>
          <w:sz w:val="22"/>
          <w:szCs w:val="22"/>
        </w:rPr>
      </w:pPr>
    </w:p>
    <w:p w14:paraId="3A475FDB">
      <w:pPr>
        <w:spacing w:before="50"/>
        <w:ind w:left="62"/>
        <w:rPr>
          <w:rFonts w:ascii="方正黑体简体" w:hAnsi="方正黑体简体" w:eastAsia="方正黑体简体" w:cs="方正黑体简体"/>
          <w:spacing w:val="3"/>
          <w:sz w:val="22"/>
          <w:szCs w:val="22"/>
        </w:rPr>
      </w:pPr>
    </w:p>
    <w:p w14:paraId="620B8EC2">
      <w:pPr>
        <w:spacing w:before="50"/>
        <w:ind w:left="62"/>
        <w:rPr>
          <w:rFonts w:ascii="方正黑体简体" w:hAnsi="方正黑体简体" w:eastAsia="方正黑体简体" w:cs="方正黑体简体"/>
          <w:spacing w:val="3"/>
          <w:sz w:val="22"/>
          <w:szCs w:val="22"/>
        </w:rPr>
      </w:pPr>
    </w:p>
    <w:p w14:paraId="51DD09F5">
      <w:pPr>
        <w:spacing w:before="50"/>
        <w:ind w:left="62"/>
        <w:rPr>
          <w:rFonts w:ascii="方正黑体简体" w:hAnsi="方正黑体简体" w:eastAsia="方正黑体简体" w:cs="方正黑体简体"/>
          <w:spacing w:val="3"/>
          <w:sz w:val="22"/>
          <w:szCs w:val="22"/>
        </w:rPr>
      </w:pPr>
      <w:bookmarkStart w:id="0" w:name="_GoBack"/>
      <w:bookmarkEnd w:id="0"/>
    </w:p>
    <w:p w14:paraId="7BC8C5C9">
      <w:pPr>
        <w:spacing w:before="50"/>
        <w:ind w:left="62"/>
        <w:rPr>
          <w:rFonts w:ascii="方正黑体简体" w:hAnsi="方正黑体简体" w:eastAsia="方正黑体简体" w:cs="方正黑体简体"/>
          <w:spacing w:val="3"/>
          <w:sz w:val="22"/>
          <w:szCs w:val="22"/>
        </w:rPr>
      </w:pPr>
    </w:p>
    <w:p w14:paraId="4E3DA06B">
      <w:pPr>
        <w:spacing w:before="50"/>
        <w:ind w:left="62"/>
        <w:rPr>
          <w:rFonts w:ascii="方正黑体简体" w:hAnsi="方正黑体简体" w:eastAsia="方正黑体简体" w:cs="方正黑体简体"/>
          <w:spacing w:val="3"/>
          <w:sz w:val="22"/>
          <w:szCs w:val="22"/>
        </w:rPr>
      </w:pPr>
    </w:p>
    <w:p w14:paraId="79F4520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altName w:val="仿宋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12648B"/>
    <w:rsid w:val="4612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方正仿宋_GB2312" w:hAnsi="方正仿宋_GB2312" w:eastAsia="方正仿宋_GB2312" w:cs="方正仿宋_GB2312"/>
      <w:sz w:val="15"/>
      <w:szCs w:val="1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2026-09-03T07:01:00Z</dcterms:created>
  <dc:creator>在水一方</dc:creator>
  <cp:lastModifiedBy>在水一方</cp:lastModifiedBy>
  <dcterms:modified xsi:type="dcterms:W3CDTF">2026-09-03T07:03:53Z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B1D210C0CA3742E1BF6BB36D6F641276_11</vt:lpwstr>
  </property>
  <property fmtid="{D5CDD505-2E9C-101B-9397-08002B2CF9AE}" pid="4" name="KSOTemplateDocerSaveRecord">
    <vt:lpwstr>eyJoZGlkIjoiZjVkZGY1M2E5OTE3ZDk1MzRmZjIzNDNkMTIxMTcxYmIiLCJ1c2VySWQiOiI0NjM0MDM3NDMifQ==</vt:lpwstr>
  </property>
</Properties>
</file>