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A2ECB">
      <w:pPr>
        <w:pStyle w:val="9"/>
        <w:rPr>
          <w:rFonts w:hint="eastAsia" w:ascii="Times New Roman" w:hAnsi="Times New Roman" w:eastAsia="方正仿宋简体" w:cs="Times New Roman"/>
          <w:lang w:eastAsia="zh-CN"/>
        </w:rPr>
      </w:pPr>
    </w:p>
    <w:p w14:paraId="596392A4">
      <w:pPr>
        <w:pStyle w:val="9"/>
        <w:ind w:left="0" w:leftChars="0" w:firstLine="0" w:firstLineChars="0"/>
        <w:rPr>
          <w:rFonts w:hint="eastAsia" w:ascii="Times New Roman" w:hAnsi="Times New Roman" w:eastAsia="方正仿宋简体" w:cs="Times New Roman"/>
          <w:lang w:eastAsia="zh-CN"/>
        </w:rPr>
      </w:pPr>
    </w:p>
    <w:p w14:paraId="5337BE7B">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680" w:firstLineChars="200"/>
        <w:jc w:val="both"/>
        <w:textAlignment w:val="auto"/>
        <w:rPr>
          <w:rFonts w:hint="eastAsia" w:ascii="Times New Roman" w:hAnsi="Times New Roman" w:eastAsia="方正黑体简体" w:cs="方正黑体简体"/>
          <w:sz w:val="34"/>
          <w:szCs w:val="44"/>
          <w:highlight w:val="none"/>
          <w:u w:val="none" w:color="auto"/>
          <w:lang w:val="en-US" w:eastAsia="zh-CN"/>
        </w:rPr>
      </w:pPr>
      <w:bookmarkStart w:id="0" w:name="_GoBack"/>
      <w:r>
        <w:rPr>
          <w:rFonts w:hint="eastAsia" w:ascii="Times New Roman" w:hAnsi="Times New Roman" w:eastAsia="方正黑体简体" w:cs="方正黑体简体"/>
          <w:sz w:val="34"/>
          <w:szCs w:val="44"/>
          <w:highlight w:val="none"/>
          <w:u w:val="none" w:color="auto"/>
          <w:lang w:val="en-US" w:eastAsia="zh-CN"/>
        </w:rPr>
        <w:t>附件</w:t>
      </w:r>
      <w:r>
        <w:rPr>
          <w:rFonts w:hint="eastAsia" w:eastAsia="方正黑体简体" w:cs="方正黑体简体"/>
          <w:sz w:val="34"/>
          <w:szCs w:val="44"/>
          <w:highlight w:val="none"/>
          <w:u w:val="none" w:color="auto"/>
          <w:lang w:val="en-US" w:eastAsia="zh-CN"/>
        </w:rPr>
        <w:t>3</w:t>
      </w:r>
    </w:p>
    <w:bookmarkEnd w:id="0"/>
    <w:p w14:paraId="4A0BA41D">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157" w:afterLines="5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小寨村</w:t>
      </w:r>
      <w:r>
        <w:rPr>
          <w:rFonts w:hint="default" w:ascii="Times New Roman" w:hAnsi="Times New Roman" w:eastAsia="方正小标宋简体" w:cs="Times New Roman"/>
          <w:sz w:val="44"/>
          <w:szCs w:val="44"/>
          <w:highlight w:val="none"/>
          <w:u w:val="none" w:color="auto"/>
          <w:lang w:val="en-US" w:eastAsia="zh-CN"/>
        </w:rPr>
        <w:t>反馈问题社会公开台账</w:t>
      </w:r>
    </w:p>
    <w:p w14:paraId="3067FDEB">
      <w:pPr>
        <w:keepLines w:val="0"/>
        <w:pageBreakBefore w:val="0"/>
        <w:widowControl w:val="0"/>
        <w:kinsoku/>
        <w:wordWrap/>
        <w:topLinePunct w:val="0"/>
        <w:bidi w:val="0"/>
        <w:spacing w:line="570" w:lineRule="exact"/>
        <w:jc w:val="left"/>
        <w:textAlignment w:val="auto"/>
        <w:rPr>
          <w:rFonts w:hint="eastAsia" w:ascii="方正楷体简体" w:hAnsi="方正楷体简体" w:eastAsia="方正楷体简体" w:cs="方正楷体简体"/>
          <w:b w:val="0"/>
          <w:bCs w:val="0"/>
          <w:sz w:val="24"/>
          <w:szCs w:val="24"/>
          <w:highlight w:val="none"/>
          <w:u w:val="none" w:color="auto"/>
          <w:lang w:eastAsia="zh-CN"/>
        </w:rPr>
      </w:pP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eastAsia" w:ascii="方正楷体简体" w:hAnsi="方正楷体简体" w:eastAsia="方正楷体简体" w:cs="方正楷体简体"/>
          <w:b w:val="0"/>
          <w:bCs w:val="0"/>
          <w:sz w:val="24"/>
          <w:szCs w:val="24"/>
          <w:highlight w:val="none"/>
          <w:u w:val="none" w:color="auto"/>
        </w:rPr>
        <w:t>填报单位（加盖公章）：</w:t>
      </w:r>
      <w:r>
        <w:rPr>
          <w:rFonts w:hint="eastAsia" w:ascii="方正楷体简体" w:hAnsi="方正楷体简体" w:eastAsia="方正楷体简体" w:cs="方正楷体简体"/>
          <w:b w:val="0"/>
          <w:bCs w:val="0"/>
          <w:sz w:val="24"/>
          <w:szCs w:val="24"/>
          <w:highlight w:val="none"/>
          <w:u w:val="none" w:color="auto"/>
          <w:lang w:eastAsia="zh-CN"/>
        </w:rPr>
        <w:t>中共文东佤族乡委员会</w:t>
      </w: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eastAsia" w:ascii="方正楷体简体" w:hAnsi="方正楷体简体" w:eastAsia="方正楷体简体" w:cs="方正楷体简体"/>
          <w:b w:val="0"/>
          <w:bCs w:val="0"/>
          <w:sz w:val="24"/>
          <w:szCs w:val="24"/>
          <w:highlight w:val="none"/>
          <w:u w:val="none" w:color="auto"/>
        </w:rPr>
        <w:t>填报日期：</w:t>
      </w:r>
      <w:r>
        <w:rPr>
          <w:rFonts w:hint="eastAsia" w:ascii="方正楷体简体" w:hAnsi="方正楷体简体" w:eastAsia="方正楷体简体" w:cs="方正楷体简体"/>
          <w:b w:val="0"/>
          <w:bCs w:val="0"/>
          <w:sz w:val="24"/>
          <w:szCs w:val="24"/>
          <w:highlight w:val="none"/>
          <w:u w:val="none" w:color="auto"/>
          <w:lang w:val="en-US" w:eastAsia="zh-CN"/>
        </w:rPr>
        <w:t>2026</w:t>
      </w:r>
      <w:r>
        <w:rPr>
          <w:rFonts w:hint="eastAsia" w:ascii="方正楷体简体" w:hAnsi="方正楷体简体" w:eastAsia="方正楷体简体" w:cs="方正楷体简体"/>
          <w:b w:val="0"/>
          <w:bCs w:val="0"/>
          <w:sz w:val="24"/>
          <w:szCs w:val="24"/>
          <w:highlight w:val="none"/>
          <w:u w:val="none" w:color="auto"/>
        </w:rPr>
        <w:t>年</w:t>
      </w:r>
      <w:r>
        <w:rPr>
          <w:rFonts w:hint="eastAsia" w:ascii="方正楷体简体" w:hAnsi="方正楷体简体" w:eastAsia="方正楷体简体" w:cs="方正楷体简体"/>
          <w:b w:val="0"/>
          <w:bCs w:val="0"/>
          <w:sz w:val="24"/>
          <w:szCs w:val="24"/>
          <w:highlight w:val="none"/>
          <w:u w:val="none" w:color="auto"/>
          <w:lang w:val="en-US" w:eastAsia="zh-CN"/>
        </w:rPr>
        <w:t>8</w:t>
      </w:r>
      <w:r>
        <w:rPr>
          <w:rFonts w:hint="eastAsia" w:ascii="方正楷体简体" w:hAnsi="方正楷体简体" w:eastAsia="方正楷体简体" w:cs="方正楷体简体"/>
          <w:b w:val="0"/>
          <w:bCs w:val="0"/>
          <w:sz w:val="24"/>
          <w:szCs w:val="24"/>
          <w:highlight w:val="none"/>
          <w:u w:val="none" w:color="auto"/>
        </w:rPr>
        <w:t>月</w:t>
      </w:r>
      <w:r>
        <w:rPr>
          <w:rFonts w:hint="eastAsia" w:ascii="方正楷体简体" w:hAnsi="方正楷体简体" w:eastAsia="方正楷体简体" w:cs="方正楷体简体"/>
          <w:b w:val="0"/>
          <w:bCs w:val="0"/>
          <w:sz w:val="24"/>
          <w:szCs w:val="24"/>
          <w:highlight w:val="none"/>
          <w:u w:val="none" w:color="auto"/>
          <w:lang w:val="en-US" w:eastAsia="zh-CN"/>
        </w:rPr>
        <w:t>28</w:t>
      </w:r>
      <w:r>
        <w:rPr>
          <w:rFonts w:hint="eastAsia" w:ascii="方正楷体简体" w:hAnsi="方正楷体简体" w:eastAsia="方正楷体简体" w:cs="方正楷体简体"/>
          <w:b w:val="0"/>
          <w:bCs w:val="0"/>
          <w:sz w:val="24"/>
          <w:szCs w:val="24"/>
          <w:highlight w:val="none"/>
          <w:u w:val="none" w:color="auto"/>
          <w:lang w:eastAsia="zh-CN"/>
        </w:rPr>
        <w:t>日</w:t>
      </w:r>
    </w:p>
    <w:tbl>
      <w:tblPr>
        <w:tblStyle w:val="7"/>
        <w:tblW w:w="12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2152"/>
        <w:gridCol w:w="2187"/>
        <w:gridCol w:w="4233"/>
        <w:gridCol w:w="1752"/>
      </w:tblGrid>
      <w:tr w14:paraId="0221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blHeader/>
          <w:jc w:val="center"/>
        </w:trPr>
        <w:tc>
          <w:tcPr>
            <w:tcW w:w="1703" w:type="dxa"/>
            <w:noWrap w:val="0"/>
            <w:vAlign w:val="center"/>
          </w:tcPr>
          <w:p w14:paraId="020184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序号</w:t>
            </w:r>
          </w:p>
        </w:tc>
        <w:tc>
          <w:tcPr>
            <w:tcW w:w="2152" w:type="dxa"/>
            <w:noWrap w:val="0"/>
            <w:vAlign w:val="center"/>
          </w:tcPr>
          <w:p w14:paraId="1230DF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问题分类（二级标题）</w:t>
            </w:r>
          </w:p>
        </w:tc>
        <w:tc>
          <w:tcPr>
            <w:tcW w:w="2187" w:type="dxa"/>
            <w:noWrap w:val="0"/>
            <w:vAlign w:val="center"/>
          </w:tcPr>
          <w:p w14:paraId="2AE961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lang w:eastAsia="zh-CN"/>
              </w:rPr>
            </w:pPr>
            <w:r>
              <w:rPr>
                <w:rFonts w:hint="eastAsia" w:eastAsia="方正黑体简体" w:cs="方正黑体简体"/>
                <w:b w:val="0"/>
                <w:bCs w:val="0"/>
                <w:color w:val="auto"/>
                <w:spacing w:val="6"/>
                <w:sz w:val="24"/>
                <w:szCs w:val="24"/>
                <w:highlight w:val="none"/>
                <w:u w:val="none" w:color="auto"/>
                <w:vertAlign w:val="baseline"/>
                <w:lang w:eastAsia="zh-CN"/>
              </w:rPr>
              <w:t>主要措施</w:t>
            </w:r>
          </w:p>
        </w:tc>
        <w:tc>
          <w:tcPr>
            <w:tcW w:w="4233" w:type="dxa"/>
            <w:noWrap w:val="0"/>
            <w:vAlign w:val="center"/>
          </w:tcPr>
          <w:p w14:paraId="7CC491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整改工作及成效</w:t>
            </w:r>
          </w:p>
        </w:tc>
        <w:tc>
          <w:tcPr>
            <w:tcW w:w="1752" w:type="dxa"/>
            <w:noWrap w:val="0"/>
            <w:vAlign w:val="center"/>
          </w:tcPr>
          <w:p w14:paraId="495427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kern w:val="2"/>
                <w:sz w:val="24"/>
                <w:szCs w:val="24"/>
                <w:highlight w:val="none"/>
                <w:u w:val="none" w:color="auto"/>
                <w:vertAlign w:val="baseline"/>
                <w:lang w:val="en-US" w:eastAsia="zh-CN" w:bidi="ar-SA"/>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备注</w:t>
            </w:r>
          </w:p>
        </w:tc>
      </w:tr>
      <w:tr w14:paraId="0FB4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2A66DE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p>
        </w:tc>
        <w:tc>
          <w:tcPr>
            <w:tcW w:w="2152" w:type="dxa"/>
            <w:vMerge w:val="restart"/>
            <w:noWrap w:val="0"/>
            <w:vAlign w:val="center"/>
          </w:tcPr>
          <w:p w14:paraId="6DE7363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方正仿宋简体"/>
                <w:b w:val="0"/>
                <w:bCs w:val="0"/>
                <w:color w:val="auto"/>
                <w:spacing w:val="6"/>
                <w:sz w:val="21"/>
                <w:szCs w:val="21"/>
                <w:highlight w:val="none"/>
                <w:u w:val="none" w:color="auto"/>
                <w:vertAlign w:val="baseline"/>
                <w:lang w:eastAsia="zh-CN"/>
              </w:rPr>
              <w:t>一、关于</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检查巡视巡察、审计等监督发现问题整改</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vMerge w:val="restart"/>
            <w:noWrap w:val="0"/>
            <w:vAlign w:val="center"/>
          </w:tcPr>
          <w:p w14:paraId="25AC74D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压实</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巡察反馈问题整改。</w:t>
            </w:r>
          </w:p>
        </w:tc>
        <w:tc>
          <w:tcPr>
            <w:tcW w:w="4233" w:type="dxa"/>
            <w:noWrap w:val="0"/>
            <w:vAlign w:val="center"/>
          </w:tcPr>
          <w:p w14:paraId="1D66181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一是组织村“两委”成员、驻村工作队员对照相关文件要求，对农家书屋再次进行全覆盖排查，对涉及有关问题的书籍即刻下架，并做好详细登记、逐一登记造册；二是对清查出来的相关书籍统一封存保管，杜绝再次流通；三是建立健全农家书屋长效监管机制，明确一名农家书屋管理责任人，定期对书屋进行自查自纠，加强对农家书屋的日常监督检查，每季度至少进行一次全面检查。</w:t>
            </w:r>
          </w:p>
        </w:tc>
        <w:tc>
          <w:tcPr>
            <w:tcW w:w="1752" w:type="dxa"/>
            <w:noWrap w:val="0"/>
            <w:vAlign w:val="center"/>
          </w:tcPr>
          <w:p w14:paraId="065838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18D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679652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w:t>
            </w:r>
          </w:p>
        </w:tc>
        <w:tc>
          <w:tcPr>
            <w:tcW w:w="2152" w:type="dxa"/>
            <w:vMerge w:val="continue"/>
            <w:noWrap w:val="0"/>
            <w:vAlign w:val="center"/>
          </w:tcPr>
          <w:p w14:paraId="151B415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vMerge w:val="continue"/>
            <w:noWrap w:val="0"/>
            <w:vAlign w:val="center"/>
          </w:tcPr>
          <w:p w14:paraId="05DEA2C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4233" w:type="dxa"/>
            <w:noWrap w:val="0"/>
            <w:vAlign w:val="center"/>
          </w:tcPr>
          <w:p w14:paraId="47D865E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一是成立由村“两委”成员、法律顾问以及村民代表组成的审查小组，对现行村规民约进行逐字逐句的审查，剔除和修正与法律法规、相关政策相抵触的条款，新增纳入符合时代需求的相关条款；二是在修订过程中，充分尊重村民的意愿和民主权利，通过村民大会、村民代表会议等形式，让村民参与到村规民约的修订中来，确保修订后的村规民约既符合法律法规要求，又体现本村特色和村民意愿；三是加强与乡党委政府部门和相关职能部门的沟通联系，及时将村规民约修订稿上报上级部门审核并备案。同时，积极收集村民对整改后的村规民约的意见和建议，不断优化村规民约内容，提高村规民约的科学性和实用性。</w:t>
            </w:r>
          </w:p>
        </w:tc>
        <w:tc>
          <w:tcPr>
            <w:tcW w:w="1752" w:type="dxa"/>
            <w:noWrap w:val="0"/>
            <w:vAlign w:val="center"/>
          </w:tcPr>
          <w:p w14:paraId="22784E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F3B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0" w:hRule="atLeast"/>
          <w:jc w:val="center"/>
        </w:trPr>
        <w:tc>
          <w:tcPr>
            <w:tcW w:w="1703" w:type="dxa"/>
            <w:noWrap w:val="0"/>
            <w:vAlign w:val="center"/>
          </w:tcPr>
          <w:p w14:paraId="6998E0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w:t>
            </w:r>
          </w:p>
        </w:tc>
        <w:tc>
          <w:tcPr>
            <w:tcW w:w="2152" w:type="dxa"/>
            <w:vMerge w:val="continue"/>
            <w:noWrap w:val="0"/>
            <w:vAlign w:val="center"/>
          </w:tcPr>
          <w:p w14:paraId="612807C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40AD4E5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强化</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监督检查问题整改</w:t>
            </w:r>
          </w:p>
        </w:tc>
        <w:tc>
          <w:tcPr>
            <w:tcW w:w="4233" w:type="dxa"/>
            <w:noWrap w:val="0"/>
            <w:vAlign w:val="center"/>
          </w:tcPr>
          <w:p w14:paraId="266D5E9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一是结合乡级相关工作专班，调整充实村级欠款收缴工作小组，由村“两委”成员、驻村工作队员和乡工作队员组成，明确分工，责任到人，邀请乡级专班成员讲解业务及收缴要求等培训，并逐户上门沟通欠款收缴事宜，详细了解欠款原因，耐心做好解释和劝导工作，争取欠款户积极配合；二是对于确实存在经济困难的欠款户，制定个性化的还款计划，如分期还款等，帮助其缓解还款压力，同时积极协调相关部门，看能否为困难欠款户提供一些临时性的帮扶措施，助其尽快偿还欠款；三是建立欠款收缴台账，对每一户欠款情况进行详细记录，包括欠款金额、还款进度等，定期更新并公示，接受村民监督，确保收缴工作公开透明，有序推进。开透明，有序推进。</w:t>
            </w:r>
          </w:p>
        </w:tc>
        <w:tc>
          <w:tcPr>
            <w:tcW w:w="1752" w:type="dxa"/>
            <w:noWrap w:val="0"/>
            <w:vAlign w:val="center"/>
          </w:tcPr>
          <w:p w14:paraId="5A203C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41A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4CAA07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4</w:t>
            </w:r>
          </w:p>
        </w:tc>
        <w:tc>
          <w:tcPr>
            <w:tcW w:w="2152" w:type="dxa"/>
            <w:vMerge w:val="restart"/>
            <w:noWrap w:val="0"/>
            <w:vAlign w:val="center"/>
          </w:tcPr>
          <w:p w14:paraId="7136D07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方正仿宋简体"/>
                <w:b w:val="0"/>
                <w:bCs w:val="0"/>
                <w:color w:val="auto"/>
                <w:spacing w:val="6"/>
                <w:sz w:val="21"/>
                <w:szCs w:val="21"/>
                <w:highlight w:val="none"/>
                <w:u w:val="none" w:color="auto"/>
                <w:vertAlign w:val="baseline"/>
                <w:lang w:eastAsia="zh-CN"/>
              </w:rPr>
              <w:t>二、关于</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检查学习贯彻习近平新时代中国特色社会主义思想和党的二十大和二十届二中、三中全会精神，加强政治建设情况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noWrap w:val="0"/>
            <w:vAlign w:val="center"/>
          </w:tcPr>
          <w:p w14:paraId="1C452F9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不断强化理论武装，</w:t>
            </w:r>
            <w:r>
              <w:rPr>
                <w:rFonts w:hint="default" w:ascii="Times New Roman" w:hAnsi="Times New Roman" w:eastAsia="方正仿宋简体" w:cs="（使用中文字体）"/>
                <w:b w:val="0"/>
                <w:bCs w:val="0"/>
                <w:color w:val="auto"/>
                <w:spacing w:val="6"/>
                <w:sz w:val="21"/>
                <w:szCs w:val="21"/>
                <w:highlight w:val="none"/>
                <w:u w:val="none" w:color="auto"/>
                <w:vertAlign w:val="baseline"/>
              </w:rPr>
              <w:t>学习贯彻习近平新时代中国特色社会主义思想和党的二十大精神。</w:t>
            </w:r>
          </w:p>
        </w:tc>
        <w:tc>
          <w:tcPr>
            <w:tcW w:w="4233" w:type="dxa"/>
            <w:noWrap w:val="0"/>
            <w:vAlign w:val="center"/>
          </w:tcPr>
          <w:p w14:paraId="0CEE515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村党总支全体成员及各党支部书记深入学习“第一议题”制度的重要意义、具体要求，通过专题培训、集中研讨等方式，提高政治站位，增强执行制度的自觉性和主动性；二是将“第一议题”制度纳入基层党支部工作的重要议程，明确在党员大会、支委会等各类会议开场时，都首先讨论和学习习近平新时代中国特色社会主义思想、党的二十大精神、习近平总书记重要讲话和指示批示精神等内容，并由专人做好相应的会议记录，形成制度化、规范化的工作模式。三是采取定期检查、随机抽查等方式，了解制度执行情况，及时发现问题并督促整改。</w:t>
            </w:r>
          </w:p>
        </w:tc>
        <w:tc>
          <w:tcPr>
            <w:tcW w:w="1752" w:type="dxa"/>
            <w:noWrap w:val="0"/>
            <w:vAlign w:val="center"/>
          </w:tcPr>
          <w:p w14:paraId="1EA214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C6D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7E1B0B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5</w:t>
            </w:r>
          </w:p>
        </w:tc>
        <w:tc>
          <w:tcPr>
            <w:tcW w:w="2152" w:type="dxa"/>
            <w:vMerge w:val="continue"/>
            <w:noWrap w:val="0"/>
            <w:vAlign w:val="center"/>
          </w:tcPr>
          <w:p w14:paraId="52A680F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4F28994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c>
          <w:tcPr>
            <w:tcW w:w="4233" w:type="dxa"/>
            <w:noWrap w:val="0"/>
            <w:vAlign w:val="center"/>
          </w:tcPr>
          <w:p w14:paraId="710716B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安排专人负责收集、整理党的二十大精神及乡村振兴政策要点，结合小寨村实际情况，制作通俗易懂、图文并茂的宣传标语；二是在村宣传栏张贴相关宣传标语、海报，标语内容需简洁明了、通俗易懂，营造浓厚的宣传氛围；三是组织开展党的二十大精神及乡村振兴主题宣讲活动，邀请挂村领导、驻村第一书记等深入村组，为村民进行面对面讲解，增强村民对政策的理解和认识，进一步浓厚宣传氛围。</w:t>
            </w:r>
          </w:p>
        </w:tc>
        <w:tc>
          <w:tcPr>
            <w:tcW w:w="1752" w:type="dxa"/>
            <w:noWrap w:val="0"/>
            <w:vAlign w:val="center"/>
          </w:tcPr>
          <w:p w14:paraId="0302CB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971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5E07B8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6</w:t>
            </w:r>
          </w:p>
        </w:tc>
        <w:tc>
          <w:tcPr>
            <w:tcW w:w="2152" w:type="dxa"/>
            <w:vMerge w:val="restart"/>
            <w:noWrap w:val="0"/>
            <w:vAlign w:val="center"/>
          </w:tcPr>
          <w:p w14:paraId="06A3AD9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r>
              <w:rPr>
                <w:rFonts w:hint="eastAsia" w:eastAsia="方正仿宋简体" w:cs="方正仿宋简体"/>
                <w:b w:val="0"/>
                <w:bCs w:val="0"/>
                <w:color w:val="auto"/>
                <w:spacing w:val="6"/>
                <w:sz w:val="21"/>
                <w:szCs w:val="21"/>
                <w:highlight w:val="none"/>
                <w:u w:val="none" w:color="auto"/>
                <w:vertAlign w:val="baseline"/>
                <w:lang w:eastAsia="zh-CN"/>
              </w:rPr>
              <w:t>三、关于</w:t>
            </w:r>
            <w:r>
              <w:rPr>
                <w:rFonts w:hint="eastAsia" w:ascii="Times New Roman" w:hAnsi="Times New Roman" w:eastAsia="方正仿宋简体" w:cs="方正仿宋简体"/>
                <w:b w:val="0"/>
                <w:bCs w:val="0"/>
                <w:color w:val="auto"/>
                <w:spacing w:val="6"/>
                <w:sz w:val="21"/>
                <w:szCs w:val="21"/>
                <w:highlight w:val="none"/>
                <w:u w:val="none" w:color="auto"/>
                <w:vertAlign w:val="baseline"/>
              </w:rPr>
              <w:t>检查加强党的全面领导，推动高质量发展情况</w:t>
            </w:r>
            <w:r>
              <w:rPr>
                <w:rFonts w:hint="eastAsia" w:eastAsia="方正仿宋简体" w:cs="Times New Roman"/>
                <w:b w:val="0"/>
                <w:bCs w:val="0"/>
                <w:color w:val="auto"/>
                <w:spacing w:val="0"/>
                <w:kern w:val="2"/>
                <w:sz w:val="21"/>
                <w:szCs w:val="21"/>
                <w:highlight w:val="none"/>
                <w:u w:val="none" w:color="auto"/>
                <w:lang w:val="en-US" w:eastAsia="zh-CN" w:bidi="ar-SA"/>
              </w:rPr>
              <w:t>方</w:t>
            </w:r>
            <w:r>
              <w:rPr>
                <w:rFonts w:hint="eastAsia" w:eastAsia="方正仿宋简体" w:cs="Times New Roman"/>
                <w:b w:val="0"/>
                <w:bCs/>
                <w:color w:val="auto"/>
                <w:spacing w:val="0"/>
                <w:kern w:val="2"/>
                <w:sz w:val="21"/>
                <w:szCs w:val="21"/>
                <w:highlight w:val="none"/>
                <w:u w:val="none" w:color="auto"/>
                <w:lang w:val="en-US" w:eastAsia="zh-CN" w:bidi="ar-SA"/>
              </w:rPr>
              <w:t>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noWrap w:val="0"/>
            <w:vAlign w:val="center"/>
          </w:tcPr>
          <w:p w14:paraId="34AABD2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1.推动巩固拓展脱贫攻坚成果同乡村振兴有效衔接工作</w:t>
            </w:r>
            <w:r>
              <w:rPr>
                <w:rFonts w:hint="eastAsia" w:eastAsia="方正仿宋简体" w:cs="（使用中文字体）"/>
                <w:b w:val="0"/>
                <w:bCs w:val="0"/>
                <w:color w:val="auto"/>
                <w:spacing w:val="6"/>
                <w:sz w:val="21"/>
                <w:szCs w:val="21"/>
                <w:highlight w:val="none"/>
                <w:u w:val="none" w:color="auto"/>
                <w:vertAlign w:val="baseline"/>
                <w:lang w:eastAsia="zh-CN"/>
              </w:rPr>
              <w:t>整改</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32A1C8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全面梳理类似因人员变动未及时更新信息的情况，建立动态跟踪台账，确保每月按时准确掌握农户人员增减变动，严格落实“一月一动态”机制；二是组织挂包人员再次对全村符合公益岗位条件的人员深入核实，结合家庭状况和收入水平，重新评估并确定是否符合纳入公益岗位范围，确保帮扶措施精准对接实际需求；三是全面排查因学因病等困难家庭，入户调查、核实信息，同时协调相关部门，依据致贫原因具体情况和政策要求，在规定时间内完成防返贫保险的申请工作，确保困难户及时享受到相应保障。</w:t>
            </w:r>
          </w:p>
        </w:tc>
        <w:tc>
          <w:tcPr>
            <w:tcW w:w="1752" w:type="dxa"/>
            <w:noWrap w:val="0"/>
            <w:vAlign w:val="center"/>
          </w:tcPr>
          <w:p w14:paraId="3C0DE7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1D7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22012D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7</w:t>
            </w:r>
          </w:p>
        </w:tc>
        <w:tc>
          <w:tcPr>
            <w:tcW w:w="2152" w:type="dxa"/>
            <w:vMerge w:val="continue"/>
            <w:noWrap w:val="0"/>
            <w:vAlign w:val="center"/>
          </w:tcPr>
          <w:p w14:paraId="7F95863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631DDDE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压实工作责任，</w:t>
            </w:r>
            <w:r>
              <w:rPr>
                <w:rFonts w:hint="default" w:ascii="Times New Roman" w:hAnsi="Times New Roman" w:eastAsia="方正仿宋简体" w:cs="（使用中文字体）"/>
                <w:b w:val="0"/>
                <w:bCs w:val="0"/>
                <w:color w:val="auto"/>
                <w:spacing w:val="6"/>
                <w:sz w:val="21"/>
                <w:szCs w:val="21"/>
                <w:highlight w:val="none"/>
                <w:u w:val="none" w:color="auto"/>
                <w:vertAlign w:val="baseline"/>
              </w:rPr>
              <w:t>推动巩固拓展脱贫攻坚成果同乡村振兴有效衔接工作</w:t>
            </w:r>
            <w:r>
              <w:rPr>
                <w:rFonts w:hint="eastAsia" w:eastAsia="方正仿宋简体" w:cs="（使用中文字体）"/>
                <w:b w:val="0"/>
                <w:bCs w:val="0"/>
                <w:color w:val="auto"/>
                <w:spacing w:val="6"/>
                <w:sz w:val="21"/>
                <w:szCs w:val="21"/>
                <w:highlight w:val="none"/>
                <w:u w:val="none" w:color="auto"/>
                <w:vertAlign w:val="baseline"/>
                <w:lang w:eastAsia="zh-CN"/>
              </w:rPr>
              <w:t>整改</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7F45169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重新梳理月动态工作程序，明确每个环节的具体要求和操作规范，形成详细的工作指南，确保工作人员清楚知晓工作流程和标准；二是按照评议方案，组织开展村民小组党员和户主评议工作，确保评议过程公开、公正、透明，充分听取各方意见和建议；三是在村“两委”拟定结果前，增加公示环节，对村民小组党员和户主评议结果进行公示，公示期不少于7天，广泛征求群众意见。</w:t>
            </w:r>
          </w:p>
        </w:tc>
        <w:tc>
          <w:tcPr>
            <w:tcW w:w="1752" w:type="dxa"/>
            <w:noWrap w:val="0"/>
            <w:vAlign w:val="center"/>
          </w:tcPr>
          <w:p w14:paraId="2CA2AB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C96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0C9F65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8</w:t>
            </w:r>
          </w:p>
        </w:tc>
        <w:tc>
          <w:tcPr>
            <w:tcW w:w="2152" w:type="dxa"/>
            <w:vMerge w:val="continue"/>
            <w:noWrap w:val="0"/>
            <w:vAlign w:val="center"/>
          </w:tcPr>
          <w:p w14:paraId="795B2B1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5EB8E1B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提高政治站位，不断</w:t>
            </w:r>
            <w:r>
              <w:rPr>
                <w:rFonts w:hint="default" w:ascii="Times New Roman" w:hAnsi="Times New Roman" w:eastAsia="方正仿宋简体" w:cs="（使用中文字体）"/>
                <w:b w:val="0"/>
                <w:bCs w:val="0"/>
                <w:color w:val="auto"/>
                <w:spacing w:val="6"/>
                <w:sz w:val="21"/>
                <w:szCs w:val="21"/>
                <w:highlight w:val="none"/>
                <w:u w:val="none" w:color="auto"/>
                <w:vertAlign w:val="baseline"/>
              </w:rPr>
              <w:t>推动巩固拓展脱贫攻坚成果同乡村振兴有效衔接工作落实。</w:t>
            </w:r>
          </w:p>
        </w:tc>
        <w:tc>
          <w:tcPr>
            <w:tcW w:w="4233" w:type="dxa"/>
            <w:noWrap w:val="0"/>
            <w:vAlign w:val="center"/>
          </w:tcPr>
          <w:p w14:paraId="1C43C7F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安排专人对防止返贫动态监测和帮扶的各项工作台账进行全面梳理，查漏补缺，按照规范格式和要求补充完整缺失信息，确保台账记录详实准确；二是根据建立防止返贫动态监测和帮扶工作台账规范模板，组织村“两委”成员、驻村工作队员和乡工作队员进行培训学习，明确各项台账记录的标准和内容要求，严格按照模板规范完善工作台账，做到信息完整、条理清晰；三是指派乡村信息员对涉及内容校对不认真的材料进行逐一审核把关。在材料形成过程中，要求信息员仔细核对材料内容一致性，完成后至少进行两次交叉校对，确保材料质量。</w:t>
            </w:r>
          </w:p>
        </w:tc>
        <w:tc>
          <w:tcPr>
            <w:tcW w:w="1752" w:type="dxa"/>
            <w:noWrap w:val="0"/>
            <w:vAlign w:val="center"/>
          </w:tcPr>
          <w:p w14:paraId="7130A8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8BB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1C390A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9</w:t>
            </w:r>
          </w:p>
        </w:tc>
        <w:tc>
          <w:tcPr>
            <w:tcW w:w="2152" w:type="dxa"/>
            <w:vMerge w:val="continue"/>
            <w:noWrap w:val="0"/>
            <w:vAlign w:val="center"/>
          </w:tcPr>
          <w:p w14:paraId="0F406C5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7D63036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2.</w:t>
            </w:r>
            <w:r>
              <w:rPr>
                <w:rFonts w:hint="eastAsia" w:eastAsia="方正仿宋简体" w:cs="（使用中文字体）"/>
                <w:b w:val="0"/>
                <w:bCs w:val="0"/>
                <w:color w:val="auto"/>
                <w:spacing w:val="6"/>
                <w:sz w:val="21"/>
                <w:szCs w:val="21"/>
                <w:highlight w:val="none"/>
                <w:u w:val="none" w:color="auto"/>
                <w:vertAlign w:val="baseline"/>
                <w:lang w:eastAsia="zh-CN"/>
              </w:rPr>
              <w:t>不断完善</w:t>
            </w:r>
            <w:r>
              <w:rPr>
                <w:rFonts w:hint="default" w:ascii="Times New Roman" w:hAnsi="Times New Roman" w:eastAsia="方正仿宋简体" w:cs="（使用中文字体）"/>
                <w:b w:val="0"/>
                <w:bCs w:val="0"/>
                <w:color w:val="auto"/>
                <w:spacing w:val="6"/>
                <w:sz w:val="21"/>
                <w:szCs w:val="21"/>
                <w:highlight w:val="none"/>
                <w:u w:val="none" w:color="auto"/>
                <w:vertAlign w:val="baseline"/>
              </w:rPr>
              <w:t>饮水安全制度。</w:t>
            </w:r>
          </w:p>
        </w:tc>
        <w:tc>
          <w:tcPr>
            <w:tcW w:w="4233" w:type="dxa"/>
            <w:noWrap w:val="0"/>
            <w:vAlign w:val="center"/>
          </w:tcPr>
          <w:p w14:paraId="3040D76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对全村所有家庭进行逐户排查，详细记录每家每户的用水设施数量、用水频率、估算月均用水量等信息，建立用水档案；二是组织召开村民代表大会，就水费收缴标准进行讨论和表决，并结合本村实际供水成本，制定合理的水费收费标准；三是安排专人负责水费收缴工作，制作水费收缴台账，详细记录每户的缴费情况，包括缴费时间、缴费金额等，同时，做好日常管理和维护工作，确保饮水方便、安全。</w:t>
            </w:r>
          </w:p>
        </w:tc>
        <w:tc>
          <w:tcPr>
            <w:tcW w:w="1752" w:type="dxa"/>
            <w:noWrap w:val="0"/>
            <w:vAlign w:val="center"/>
          </w:tcPr>
          <w:p w14:paraId="6017A7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3B9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1CABC1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10</w:t>
            </w:r>
          </w:p>
        </w:tc>
        <w:tc>
          <w:tcPr>
            <w:tcW w:w="2152" w:type="dxa"/>
            <w:vMerge w:val="continue"/>
            <w:noWrap w:val="0"/>
            <w:vAlign w:val="center"/>
          </w:tcPr>
          <w:p w14:paraId="0F5516E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66748F4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3.抓</w:t>
            </w:r>
            <w:r>
              <w:rPr>
                <w:rFonts w:hint="eastAsia" w:eastAsia="方正仿宋简体" w:cs="（使用中文字体）"/>
                <w:b w:val="0"/>
                <w:bCs w:val="0"/>
                <w:color w:val="auto"/>
                <w:spacing w:val="6"/>
                <w:sz w:val="21"/>
                <w:szCs w:val="21"/>
                <w:highlight w:val="none"/>
                <w:u w:val="none" w:color="auto"/>
                <w:vertAlign w:val="baseline"/>
                <w:lang w:eastAsia="zh-CN"/>
              </w:rPr>
              <w:t>实</w:t>
            </w:r>
            <w:r>
              <w:rPr>
                <w:rFonts w:hint="default" w:ascii="Times New Roman" w:hAnsi="Times New Roman" w:eastAsia="方正仿宋简体" w:cs="（使用中文字体）"/>
                <w:b w:val="0"/>
                <w:bCs w:val="0"/>
                <w:color w:val="auto"/>
                <w:spacing w:val="6"/>
                <w:sz w:val="21"/>
                <w:szCs w:val="21"/>
                <w:highlight w:val="none"/>
                <w:u w:val="none" w:color="auto"/>
                <w:vertAlign w:val="baseline"/>
              </w:rPr>
              <w:t>控辍保学工作。</w:t>
            </w:r>
          </w:p>
        </w:tc>
        <w:tc>
          <w:tcPr>
            <w:tcW w:w="4233" w:type="dxa"/>
            <w:noWrap w:val="0"/>
            <w:vAlign w:val="center"/>
          </w:tcPr>
          <w:p w14:paraId="17D8474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由村干部、教师、挂包人员组成的劝返工作小组，针对厌学和逃学未成年学生逐一进行深入家访，全面了解其家庭环境、学习困难、心理状况等具体情况，制定个性化的劝返方案；二是加强与学校的沟通协作，为劝返学生安排专门的辅导教师，按照学校实际情况加强管理，确保学生不再逃学；三是建立劝返学生跟踪机制，劝返工作小组和学校教师密切关注劝返学生的在校表现和学习动态，每周进行一次沟通交流，及时发现并解决新出现的问题，防止再次流失。</w:t>
            </w:r>
          </w:p>
        </w:tc>
        <w:tc>
          <w:tcPr>
            <w:tcW w:w="1752" w:type="dxa"/>
            <w:noWrap w:val="0"/>
            <w:vAlign w:val="center"/>
          </w:tcPr>
          <w:p w14:paraId="4149D5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C08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036532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11</w:t>
            </w:r>
          </w:p>
        </w:tc>
        <w:tc>
          <w:tcPr>
            <w:tcW w:w="2152" w:type="dxa"/>
            <w:vMerge w:val="restart"/>
            <w:noWrap w:val="0"/>
            <w:vAlign w:val="center"/>
          </w:tcPr>
          <w:p w14:paraId="50FDFAE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r>
              <w:rPr>
                <w:rFonts w:hint="eastAsia" w:eastAsia="方正仿宋简体" w:cs="方正仿宋简体"/>
                <w:b w:val="0"/>
                <w:bCs w:val="0"/>
                <w:color w:val="auto"/>
                <w:spacing w:val="6"/>
                <w:sz w:val="21"/>
                <w:szCs w:val="21"/>
                <w:highlight w:val="none"/>
                <w:u w:val="none" w:color="auto"/>
                <w:vertAlign w:val="baseline"/>
                <w:lang w:eastAsia="zh-CN"/>
              </w:rPr>
              <w:t>四、</w:t>
            </w:r>
            <w:r>
              <w:rPr>
                <w:rFonts w:hint="eastAsia" w:ascii="Times New Roman" w:hAnsi="Times New Roman" w:eastAsia="方正仿宋简体" w:cs="方正仿宋简体"/>
                <w:b w:val="0"/>
                <w:bCs w:val="0"/>
                <w:color w:val="auto"/>
                <w:spacing w:val="6"/>
                <w:sz w:val="21"/>
                <w:szCs w:val="21"/>
                <w:highlight w:val="none"/>
                <w:u w:val="none" w:color="auto"/>
                <w:vertAlign w:val="baseline"/>
              </w:rPr>
              <w:t>检查防范化解重大风险，维护社会大局和谐稳定情况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noWrap w:val="0"/>
            <w:vAlign w:val="center"/>
          </w:tcPr>
          <w:p w14:paraId="305932C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提高对</w:t>
            </w:r>
            <w:r>
              <w:rPr>
                <w:rFonts w:hint="default" w:ascii="Times New Roman" w:hAnsi="Times New Roman" w:eastAsia="方正仿宋简体" w:cs="（使用中文字体）"/>
                <w:b w:val="0"/>
                <w:bCs w:val="0"/>
                <w:color w:val="auto"/>
                <w:spacing w:val="6"/>
                <w:sz w:val="21"/>
                <w:szCs w:val="21"/>
                <w:highlight w:val="none"/>
                <w:u w:val="none" w:color="auto"/>
                <w:vertAlign w:val="baseline"/>
              </w:rPr>
              <w:t>意识形态工作</w:t>
            </w:r>
            <w:r>
              <w:rPr>
                <w:rFonts w:hint="eastAsia" w:eastAsia="方正仿宋简体" w:cs="（使用中文字体）"/>
                <w:b w:val="0"/>
                <w:bCs w:val="0"/>
                <w:color w:val="auto"/>
                <w:spacing w:val="6"/>
                <w:sz w:val="21"/>
                <w:szCs w:val="21"/>
                <w:highlight w:val="none"/>
                <w:u w:val="none" w:color="auto"/>
                <w:vertAlign w:val="baseline"/>
                <w:lang w:eastAsia="zh-CN"/>
              </w:rPr>
              <w:t>认识</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7FAF4FE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安排专人管理应急广播，组织人员对机房进行全面清理和卫生清扫工作，清除杂物，擦拭设备，确保机房整洁有序，严格执行每周清洁制度，持续保持机房整洁有序的良好环境；二是按照机房设备布局和管理要求，重新规整线路布局、物品摆放位置，做到整齐规范、便于查找和使用，定期检查物品摆放情况，对不规范行为及时纠正，确保长期保持良好的摆放秩序，并确立后续定期检查与维护的工作机制。</w:t>
            </w:r>
          </w:p>
        </w:tc>
        <w:tc>
          <w:tcPr>
            <w:tcW w:w="1752" w:type="dxa"/>
            <w:noWrap w:val="0"/>
            <w:vAlign w:val="center"/>
          </w:tcPr>
          <w:p w14:paraId="139F4B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FD7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34CBCB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12</w:t>
            </w:r>
          </w:p>
        </w:tc>
        <w:tc>
          <w:tcPr>
            <w:tcW w:w="2152" w:type="dxa"/>
            <w:vMerge w:val="continue"/>
            <w:noWrap w:val="0"/>
            <w:vAlign w:val="center"/>
          </w:tcPr>
          <w:p w14:paraId="51CFF45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569C223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c>
          <w:tcPr>
            <w:tcW w:w="4233" w:type="dxa"/>
            <w:noWrap w:val="0"/>
            <w:vAlign w:val="center"/>
          </w:tcPr>
          <w:p w14:paraId="0511015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村组干部对辖区内外墙的脱贫攻坚相关标语进行全面排查统计，详细记录标语的位置；二是根据排查结果，采用环保的方式进行全面清理，彻底清除所有脱贫攻坚相关标语；三是建立长效监督机制，定期巡查村组内墙面，组织检查，防止已清理的标语再次出现或新增过时宣传内容。</w:t>
            </w:r>
          </w:p>
        </w:tc>
        <w:tc>
          <w:tcPr>
            <w:tcW w:w="1752" w:type="dxa"/>
            <w:noWrap w:val="0"/>
            <w:vAlign w:val="center"/>
          </w:tcPr>
          <w:p w14:paraId="5A05D9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2D0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6D4B58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13</w:t>
            </w:r>
          </w:p>
        </w:tc>
        <w:tc>
          <w:tcPr>
            <w:tcW w:w="2152" w:type="dxa"/>
            <w:vMerge w:val="continue"/>
            <w:noWrap w:val="0"/>
            <w:vAlign w:val="center"/>
          </w:tcPr>
          <w:p w14:paraId="12D4C94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04ADA54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2.</w:t>
            </w:r>
            <w:r>
              <w:rPr>
                <w:rFonts w:hint="eastAsia" w:eastAsia="方正仿宋简体" w:cs="（使用中文字体）"/>
                <w:b w:val="0"/>
                <w:bCs w:val="0"/>
                <w:color w:val="auto"/>
                <w:spacing w:val="6"/>
                <w:sz w:val="21"/>
                <w:szCs w:val="21"/>
                <w:highlight w:val="none"/>
                <w:u w:val="none" w:color="auto"/>
                <w:vertAlign w:val="baseline"/>
                <w:lang w:eastAsia="zh-CN"/>
              </w:rPr>
              <w:t>强化</w:t>
            </w:r>
            <w:r>
              <w:rPr>
                <w:rFonts w:hint="default" w:ascii="Times New Roman" w:hAnsi="Times New Roman" w:eastAsia="方正仿宋简体" w:cs="（使用中文字体）"/>
                <w:b w:val="0"/>
                <w:bCs w:val="0"/>
                <w:color w:val="auto"/>
                <w:spacing w:val="6"/>
                <w:sz w:val="21"/>
                <w:szCs w:val="21"/>
                <w:highlight w:val="none"/>
                <w:u w:val="none" w:color="auto"/>
                <w:vertAlign w:val="baseline"/>
              </w:rPr>
              <w:t>党组织职能作用发挥。</w:t>
            </w:r>
          </w:p>
        </w:tc>
        <w:tc>
          <w:tcPr>
            <w:tcW w:w="4233" w:type="dxa"/>
            <w:noWrap w:val="0"/>
            <w:vAlign w:val="center"/>
          </w:tcPr>
          <w:p w14:paraId="7B3DC73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结合小寨村实际情况，制定法治宣传教育计划，明确宣传内容、方式和时间节点。内容涵盖与群众生产生活密切相关的法律法规，如《民法典》中关于婚姻家庭、财产继承、邻里关系等方面的规定，以及《治安管理处罚法》《土地管理法》等；二是规范矛盾纠纷调解程序，对排查出的矛盾纠纷，按照简易纠纷和复杂纠纷进行分类处理。简易纠纷由调解员当场调解，复杂纠纷组织乡村调解委员会进行调解，确保调解过程合法、公正、合理；三是已调解成功</w:t>
            </w:r>
            <w:r>
              <w:rPr>
                <w:rFonts w:hint="eastAsia" w:eastAsia="方正仿宋简体" w:cs="（使用中文字体）"/>
                <w:b w:val="0"/>
                <w:bCs w:val="0"/>
                <w:color w:val="auto"/>
                <w:spacing w:val="6"/>
                <w:sz w:val="21"/>
                <w:szCs w:val="21"/>
                <w:highlight w:val="none"/>
                <w:u w:val="none" w:color="auto"/>
                <w:vertAlign w:val="baseline"/>
                <w:lang w:val="en-US" w:eastAsia="zh-CN"/>
              </w:rPr>
              <w:t>29起，并对已调解的</w:t>
            </w:r>
            <w:r>
              <w:rPr>
                <w:rFonts w:hint="default" w:ascii="Times New Roman" w:hAnsi="Times New Roman" w:eastAsia="方正仿宋简体" w:cs="（使用中文字体）"/>
                <w:b w:val="0"/>
                <w:bCs w:val="0"/>
                <w:color w:val="auto"/>
                <w:spacing w:val="6"/>
                <w:sz w:val="21"/>
                <w:szCs w:val="21"/>
                <w:highlight w:val="none"/>
                <w:u w:val="none" w:color="auto"/>
                <w:vertAlign w:val="baseline"/>
              </w:rPr>
              <w:t>矛盾纠纷进行跟踪回访，了解当事人对调解结果的履行情况和满意度，及时发现并解决可能出现的新问题，巩固调解成果，防止矛盾纠纷反弹。</w:t>
            </w:r>
          </w:p>
        </w:tc>
        <w:tc>
          <w:tcPr>
            <w:tcW w:w="1752" w:type="dxa"/>
            <w:noWrap w:val="0"/>
            <w:vAlign w:val="center"/>
          </w:tcPr>
          <w:p w14:paraId="54A168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159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502F04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14</w:t>
            </w:r>
          </w:p>
        </w:tc>
        <w:tc>
          <w:tcPr>
            <w:tcW w:w="2152" w:type="dxa"/>
            <w:noWrap w:val="0"/>
            <w:vAlign w:val="center"/>
          </w:tcPr>
          <w:p w14:paraId="5850BAB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r>
              <w:rPr>
                <w:rFonts w:hint="eastAsia" w:eastAsia="方正仿宋简体" w:cs="方正仿宋简体"/>
                <w:b w:val="0"/>
                <w:bCs w:val="0"/>
                <w:color w:val="auto"/>
                <w:spacing w:val="6"/>
                <w:sz w:val="21"/>
                <w:szCs w:val="21"/>
                <w:highlight w:val="none"/>
                <w:u w:val="none" w:color="auto"/>
                <w:vertAlign w:val="baseline"/>
                <w:lang w:eastAsia="zh-CN"/>
              </w:rPr>
              <w:t>五、关于</w:t>
            </w:r>
            <w:r>
              <w:rPr>
                <w:rFonts w:hint="eastAsia" w:ascii="Times New Roman" w:hAnsi="Times New Roman" w:eastAsia="方正仿宋简体" w:cs="方正仿宋简体"/>
                <w:b w:val="0"/>
                <w:bCs w:val="0"/>
                <w:color w:val="auto"/>
                <w:spacing w:val="6"/>
                <w:sz w:val="21"/>
                <w:szCs w:val="21"/>
                <w:highlight w:val="none"/>
                <w:u w:val="none" w:color="auto"/>
                <w:vertAlign w:val="baseline"/>
              </w:rPr>
              <w:t>检查落实全面从严治党责任、推进党风廉政建设和反腐败斗争方面情况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noWrap w:val="0"/>
            <w:vAlign w:val="center"/>
          </w:tcPr>
          <w:p w14:paraId="338D2C2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加强</w:t>
            </w:r>
            <w:r>
              <w:rPr>
                <w:rFonts w:hint="default" w:ascii="Times New Roman" w:hAnsi="Times New Roman" w:eastAsia="方正仿宋简体" w:cs="（使用中文字体）"/>
                <w:b w:val="0"/>
                <w:bCs w:val="0"/>
                <w:color w:val="auto"/>
                <w:spacing w:val="6"/>
                <w:sz w:val="21"/>
                <w:szCs w:val="21"/>
                <w:highlight w:val="none"/>
                <w:u w:val="none" w:color="auto"/>
                <w:vertAlign w:val="baseline"/>
              </w:rPr>
              <w:t>党员教育管理。</w:t>
            </w:r>
          </w:p>
        </w:tc>
        <w:tc>
          <w:tcPr>
            <w:tcW w:w="4233" w:type="dxa"/>
            <w:noWrap w:val="0"/>
            <w:vAlign w:val="center"/>
          </w:tcPr>
          <w:p w14:paraId="3406121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在抓实党员教育管理上下功夫，将党的理论知识、方针政策以及组织生活的重要意义等纳入每月集中学习内容，增强党员对组织生活严肃性的认识，同时，结合当下热点、话题丰富组织生活内容，提高党员参与组织生活的积极性；二是完善组织生活考勤制度，明确规定迟到、早退、无故缺席的认定标准及相应的处理措施。每次组织生活前，提前通知党员并做好签到记录，对违反考勤制度的党员进行严肃批评教育，并在全村范围内进行通报；三是开展酒驾问题专项警示教育活动，邀请</w:t>
            </w:r>
            <w:r>
              <w:rPr>
                <w:rFonts w:hint="eastAsia" w:eastAsia="方正仿宋简体" w:cs="（使用中文字体）"/>
                <w:b w:val="0"/>
                <w:bCs w:val="0"/>
                <w:color w:val="auto"/>
                <w:spacing w:val="6"/>
                <w:sz w:val="21"/>
                <w:szCs w:val="21"/>
                <w:highlight w:val="none"/>
                <w:u w:val="none" w:color="auto"/>
                <w:vertAlign w:val="baseline"/>
                <w:lang w:eastAsia="zh-CN"/>
              </w:rPr>
              <w:t>文东</w:t>
            </w:r>
            <w:r>
              <w:rPr>
                <w:rFonts w:hint="default" w:ascii="Times New Roman" w:hAnsi="Times New Roman" w:eastAsia="方正仿宋简体" w:cs="（使用中文字体）"/>
                <w:b w:val="0"/>
                <w:bCs w:val="0"/>
                <w:color w:val="auto"/>
                <w:spacing w:val="6"/>
                <w:sz w:val="21"/>
                <w:szCs w:val="21"/>
                <w:highlight w:val="none"/>
                <w:u w:val="none" w:color="auto"/>
                <w:vertAlign w:val="baseline"/>
              </w:rPr>
              <w:t>派出所</w:t>
            </w:r>
            <w:r>
              <w:rPr>
                <w:rFonts w:hint="eastAsia" w:eastAsia="方正仿宋简体" w:cs="（使用中文字体）"/>
                <w:b w:val="0"/>
                <w:bCs w:val="0"/>
                <w:color w:val="auto"/>
                <w:spacing w:val="6"/>
                <w:sz w:val="21"/>
                <w:szCs w:val="21"/>
                <w:highlight w:val="none"/>
                <w:u w:val="none" w:color="auto"/>
                <w:vertAlign w:val="baseline"/>
                <w:lang w:eastAsia="zh-CN"/>
              </w:rPr>
              <w:t>及乡纪委</w:t>
            </w:r>
            <w:r>
              <w:rPr>
                <w:rFonts w:hint="default" w:ascii="Times New Roman" w:hAnsi="Times New Roman" w:eastAsia="方正仿宋简体" w:cs="（使用中文字体）"/>
                <w:b w:val="0"/>
                <w:bCs w:val="0"/>
                <w:color w:val="auto"/>
                <w:spacing w:val="6"/>
                <w:sz w:val="21"/>
                <w:szCs w:val="21"/>
                <w:highlight w:val="none"/>
                <w:u w:val="none" w:color="auto"/>
                <w:vertAlign w:val="baseline"/>
              </w:rPr>
              <w:t>为党员上专题</w:t>
            </w:r>
            <w:r>
              <w:rPr>
                <w:rFonts w:hint="eastAsia" w:eastAsia="方正仿宋简体" w:cs="（使用中文字体）"/>
                <w:b w:val="0"/>
                <w:bCs w:val="0"/>
                <w:color w:val="auto"/>
                <w:spacing w:val="6"/>
                <w:sz w:val="21"/>
                <w:szCs w:val="21"/>
                <w:highlight w:val="none"/>
                <w:u w:val="none" w:color="auto"/>
                <w:vertAlign w:val="baseline"/>
                <w:lang w:eastAsia="zh-CN"/>
              </w:rPr>
              <w:t>警示教育</w:t>
            </w:r>
            <w:r>
              <w:rPr>
                <w:rFonts w:hint="default" w:ascii="Times New Roman" w:hAnsi="Times New Roman" w:eastAsia="方正仿宋简体" w:cs="（使用中文字体）"/>
                <w:b w:val="0"/>
                <w:bCs w:val="0"/>
                <w:color w:val="auto"/>
                <w:spacing w:val="6"/>
                <w:sz w:val="21"/>
                <w:szCs w:val="21"/>
                <w:highlight w:val="none"/>
                <w:u w:val="none" w:color="auto"/>
                <w:vertAlign w:val="baseline"/>
              </w:rPr>
              <w:t>课，通过讲解酒驾案例、法律法规等，让党员深刻认识到酒驾行为的严重性和危害性，增强纪律意识和法律意识。</w:t>
            </w:r>
          </w:p>
        </w:tc>
        <w:tc>
          <w:tcPr>
            <w:tcW w:w="1752" w:type="dxa"/>
            <w:noWrap w:val="0"/>
            <w:vAlign w:val="center"/>
          </w:tcPr>
          <w:p w14:paraId="7865A4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B38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27BA3C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15</w:t>
            </w:r>
          </w:p>
        </w:tc>
        <w:tc>
          <w:tcPr>
            <w:tcW w:w="2152" w:type="dxa"/>
            <w:vMerge w:val="restart"/>
            <w:noWrap w:val="0"/>
            <w:vAlign w:val="center"/>
          </w:tcPr>
          <w:p w14:paraId="6E57C88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r>
              <w:rPr>
                <w:rFonts w:hint="eastAsia" w:eastAsia="方正仿宋简体" w:cs="方正仿宋简体"/>
                <w:b w:val="0"/>
                <w:bCs w:val="0"/>
                <w:color w:val="auto"/>
                <w:spacing w:val="6"/>
                <w:sz w:val="21"/>
                <w:szCs w:val="21"/>
                <w:highlight w:val="none"/>
                <w:u w:val="none" w:color="auto"/>
                <w:vertAlign w:val="baseline"/>
                <w:lang w:eastAsia="zh-CN"/>
              </w:rPr>
              <w:t>六、关于</w:t>
            </w:r>
            <w:r>
              <w:rPr>
                <w:rFonts w:hint="eastAsia" w:ascii="Times New Roman" w:hAnsi="Times New Roman" w:eastAsia="方正仿宋简体" w:cs="方正仿宋简体"/>
                <w:b w:val="0"/>
                <w:bCs w:val="0"/>
                <w:color w:val="auto"/>
                <w:spacing w:val="6"/>
                <w:sz w:val="21"/>
                <w:szCs w:val="21"/>
                <w:highlight w:val="none"/>
                <w:u w:val="none" w:color="auto"/>
                <w:vertAlign w:val="baseline"/>
              </w:rPr>
              <w:t>检查加强廉洁风险防控，落实中央八项规定精神</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noWrap w:val="0"/>
            <w:vAlign w:val="center"/>
          </w:tcPr>
          <w:p w14:paraId="3891ABB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抓实抓细</w:t>
            </w:r>
            <w:r>
              <w:rPr>
                <w:rFonts w:hint="default" w:ascii="Times New Roman" w:hAnsi="Times New Roman" w:eastAsia="方正仿宋简体" w:cs="（使用中文字体）"/>
                <w:b w:val="0"/>
                <w:bCs w:val="0"/>
                <w:color w:val="auto"/>
                <w:spacing w:val="6"/>
                <w:sz w:val="21"/>
                <w:szCs w:val="21"/>
                <w:highlight w:val="none"/>
                <w:u w:val="none" w:color="auto"/>
                <w:vertAlign w:val="baseline"/>
              </w:rPr>
              <w:t>报账</w:t>
            </w:r>
            <w:r>
              <w:rPr>
                <w:rFonts w:hint="eastAsia" w:eastAsia="方正仿宋简体" w:cs="（使用中文字体）"/>
                <w:b w:val="0"/>
                <w:bCs w:val="0"/>
                <w:color w:val="auto"/>
                <w:spacing w:val="6"/>
                <w:sz w:val="21"/>
                <w:szCs w:val="21"/>
                <w:highlight w:val="none"/>
                <w:u w:val="none" w:color="auto"/>
                <w:vertAlign w:val="baseline"/>
                <w:lang w:eastAsia="zh-CN"/>
              </w:rPr>
              <w:t>相关程序</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304BF51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全体村干部及相关财务人员开展财经纪律专项培训，加强对村集体资金使用、发票管理等方面规定的学习，杜绝类似违规行为再次发生；二是对此类事件进行全面梳理，建立健全村集体资金使用的监督机制，加强对每一笔资金支出的审核把关，确保资金使用合法合规、公开透明；三是写明情况说明，报账后剩余资金正常用于村委会日常开支，并未违规使用。</w:t>
            </w:r>
          </w:p>
        </w:tc>
        <w:tc>
          <w:tcPr>
            <w:tcW w:w="1752" w:type="dxa"/>
            <w:noWrap w:val="0"/>
            <w:vAlign w:val="center"/>
          </w:tcPr>
          <w:p w14:paraId="22F04B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E8C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32C9CD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16</w:t>
            </w:r>
          </w:p>
        </w:tc>
        <w:tc>
          <w:tcPr>
            <w:tcW w:w="2152" w:type="dxa"/>
            <w:vMerge w:val="continue"/>
            <w:noWrap w:val="0"/>
            <w:vAlign w:val="center"/>
          </w:tcPr>
          <w:p w14:paraId="646B959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22A4665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2.</w:t>
            </w:r>
            <w:r>
              <w:rPr>
                <w:rFonts w:hint="eastAsia" w:eastAsia="方正仿宋简体" w:cs="（使用中文字体）"/>
                <w:b w:val="0"/>
                <w:bCs w:val="0"/>
                <w:color w:val="auto"/>
                <w:spacing w:val="6"/>
                <w:sz w:val="21"/>
                <w:szCs w:val="21"/>
                <w:highlight w:val="none"/>
                <w:u w:val="none" w:color="auto"/>
                <w:vertAlign w:val="baseline"/>
                <w:lang w:eastAsia="zh-CN"/>
              </w:rPr>
              <w:t>严格执行</w:t>
            </w:r>
            <w:r>
              <w:rPr>
                <w:rFonts w:hint="default" w:ascii="Times New Roman" w:hAnsi="Times New Roman" w:eastAsia="方正仿宋简体" w:cs="（使用中文字体）"/>
                <w:b w:val="0"/>
                <w:bCs w:val="0"/>
                <w:color w:val="auto"/>
                <w:spacing w:val="6"/>
                <w:sz w:val="21"/>
                <w:szCs w:val="21"/>
                <w:highlight w:val="none"/>
                <w:u w:val="none" w:color="auto"/>
                <w:vertAlign w:val="baseline"/>
              </w:rPr>
              <w:t>财经制度，</w:t>
            </w:r>
            <w:r>
              <w:rPr>
                <w:rFonts w:hint="eastAsia" w:eastAsia="方正仿宋简体" w:cs="（使用中文字体）"/>
                <w:b w:val="0"/>
                <w:bCs w:val="0"/>
                <w:color w:val="auto"/>
                <w:spacing w:val="6"/>
                <w:sz w:val="21"/>
                <w:szCs w:val="21"/>
                <w:highlight w:val="none"/>
                <w:u w:val="none" w:color="auto"/>
                <w:vertAlign w:val="baseline"/>
                <w:lang w:eastAsia="zh-CN"/>
              </w:rPr>
              <w:t>规范</w:t>
            </w:r>
            <w:r>
              <w:rPr>
                <w:rFonts w:hint="default" w:ascii="Times New Roman" w:hAnsi="Times New Roman" w:eastAsia="方正仿宋简体" w:cs="（使用中文字体）"/>
                <w:b w:val="0"/>
                <w:bCs w:val="0"/>
                <w:color w:val="auto"/>
                <w:spacing w:val="6"/>
                <w:sz w:val="21"/>
                <w:szCs w:val="21"/>
                <w:highlight w:val="none"/>
                <w:u w:val="none" w:color="auto"/>
                <w:vertAlign w:val="baseline"/>
              </w:rPr>
              <w:t>资金支付</w:t>
            </w:r>
            <w:r>
              <w:rPr>
                <w:rFonts w:hint="eastAsia" w:eastAsia="方正仿宋简体" w:cs="（使用中文字体）"/>
                <w:b w:val="0"/>
                <w:bCs w:val="0"/>
                <w:color w:val="auto"/>
                <w:spacing w:val="6"/>
                <w:sz w:val="21"/>
                <w:szCs w:val="21"/>
                <w:highlight w:val="none"/>
                <w:u w:val="none" w:color="auto"/>
                <w:vertAlign w:val="baseline"/>
                <w:lang w:eastAsia="zh-CN"/>
              </w:rPr>
              <w:t>、</w:t>
            </w:r>
            <w:r>
              <w:rPr>
                <w:rFonts w:hint="default" w:ascii="Times New Roman" w:hAnsi="Times New Roman" w:eastAsia="方正仿宋简体" w:cs="（使用中文字体）"/>
                <w:b w:val="0"/>
                <w:bCs w:val="0"/>
                <w:color w:val="auto"/>
                <w:spacing w:val="6"/>
                <w:sz w:val="21"/>
                <w:szCs w:val="21"/>
                <w:highlight w:val="none"/>
                <w:u w:val="none" w:color="auto"/>
                <w:vertAlign w:val="baseline"/>
              </w:rPr>
              <w:t>依据</w:t>
            </w:r>
            <w:r>
              <w:rPr>
                <w:rFonts w:hint="eastAsia" w:eastAsia="方正仿宋简体" w:cs="（使用中文字体）"/>
                <w:b w:val="0"/>
                <w:bCs w:val="0"/>
                <w:color w:val="auto"/>
                <w:spacing w:val="6"/>
                <w:sz w:val="21"/>
                <w:szCs w:val="21"/>
                <w:highlight w:val="none"/>
                <w:u w:val="none" w:color="auto"/>
                <w:vertAlign w:val="baseline"/>
                <w:lang w:eastAsia="zh-CN"/>
              </w:rPr>
              <w:t>等</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37CB4FA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w:t>
            </w:r>
            <w:r>
              <w:rPr>
                <w:rFonts w:hint="eastAsia" w:eastAsia="方正仿宋简体" w:cs="（使用中文字体）"/>
                <w:b w:val="0"/>
                <w:bCs w:val="0"/>
                <w:color w:val="auto"/>
                <w:spacing w:val="6"/>
                <w:sz w:val="21"/>
                <w:szCs w:val="21"/>
                <w:highlight w:val="none"/>
                <w:u w:val="none" w:color="auto"/>
                <w:vertAlign w:val="baseline"/>
                <w:lang w:eastAsia="zh-CN"/>
              </w:rPr>
              <w:t>按照</w:t>
            </w:r>
            <w:r>
              <w:rPr>
                <w:rFonts w:hint="default" w:ascii="Times New Roman" w:hAnsi="Times New Roman" w:eastAsia="方正仿宋简体" w:cs="（使用中文字体）"/>
                <w:b w:val="0"/>
                <w:bCs w:val="0"/>
                <w:color w:val="auto"/>
                <w:spacing w:val="6"/>
                <w:sz w:val="21"/>
                <w:szCs w:val="21"/>
                <w:highlight w:val="none"/>
                <w:u w:val="none" w:color="auto"/>
                <w:vertAlign w:val="baseline"/>
              </w:rPr>
              <w:t>经费报销审核程序，明确各项费用报销所需的凭证和审批流程。对于办公用品、伙食费等支出，必须附上详细的购买清单、发票以及相关审批签字，杜绝无依据报销；二是针对耕地流出整治、下组开展工作、各类会议培训等活动，收集完善会议记录、会议照片、签到表等支撑材料，确保报账材料的完整性和真实性。</w:t>
            </w:r>
          </w:p>
        </w:tc>
        <w:tc>
          <w:tcPr>
            <w:tcW w:w="1752" w:type="dxa"/>
            <w:noWrap w:val="0"/>
            <w:vAlign w:val="center"/>
          </w:tcPr>
          <w:p w14:paraId="7C8EE3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F1D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3108CD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17</w:t>
            </w:r>
          </w:p>
        </w:tc>
        <w:tc>
          <w:tcPr>
            <w:tcW w:w="2152" w:type="dxa"/>
            <w:vMerge w:val="continue"/>
            <w:noWrap w:val="0"/>
            <w:vAlign w:val="center"/>
          </w:tcPr>
          <w:p w14:paraId="166522E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1F8E007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3.</w:t>
            </w:r>
            <w:r>
              <w:rPr>
                <w:rFonts w:hint="eastAsia" w:eastAsia="方正仿宋简体" w:cs="（使用中文字体）"/>
                <w:b w:val="0"/>
                <w:bCs w:val="0"/>
                <w:color w:val="auto"/>
                <w:spacing w:val="6"/>
                <w:sz w:val="21"/>
                <w:szCs w:val="21"/>
                <w:highlight w:val="none"/>
                <w:u w:val="none" w:color="auto"/>
                <w:vertAlign w:val="baseline"/>
                <w:lang w:eastAsia="zh-CN"/>
              </w:rPr>
              <w:t>加强</w:t>
            </w:r>
            <w:r>
              <w:rPr>
                <w:rFonts w:hint="default" w:ascii="Times New Roman" w:hAnsi="Times New Roman" w:eastAsia="方正仿宋简体" w:cs="（使用中文字体）"/>
                <w:b w:val="0"/>
                <w:bCs w:val="0"/>
                <w:color w:val="auto"/>
                <w:spacing w:val="6"/>
                <w:sz w:val="21"/>
                <w:szCs w:val="21"/>
                <w:highlight w:val="none"/>
                <w:u w:val="none" w:color="auto"/>
                <w:vertAlign w:val="baseline"/>
              </w:rPr>
              <w:t>扶持项目监管，</w:t>
            </w:r>
            <w:r>
              <w:rPr>
                <w:rFonts w:hint="eastAsia" w:eastAsia="方正仿宋简体" w:cs="（使用中文字体）"/>
                <w:b w:val="0"/>
                <w:bCs w:val="0"/>
                <w:color w:val="auto"/>
                <w:spacing w:val="6"/>
                <w:sz w:val="21"/>
                <w:szCs w:val="21"/>
                <w:highlight w:val="none"/>
                <w:u w:val="none" w:color="auto"/>
                <w:vertAlign w:val="baseline"/>
                <w:lang w:eastAsia="zh-CN"/>
              </w:rPr>
              <w:t>抓好</w:t>
            </w:r>
            <w:r>
              <w:rPr>
                <w:rFonts w:hint="default" w:ascii="Times New Roman" w:hAnsi="Times New Roman" w:eastAsia="方正仿宋简体" w:cs="（使用中文字体）"/>
                <w:b w:val="0"/>
                <w:bCs w:val="0"/>
                <w:color w:val="auto"/>
                <w:spacing w:val="6"/>
                <w:sz w:val="21"/>
                <w:szCs w:val="21"/>
                <w:highlight w:val="none"/>
                <w:u w:val="none" w:color="auto"/>
                <w:vertAlign w:val="baseline"/>
              </w:rPr>
              <w:t>利益联结分红收益。</w:t>
            </w:r>
          </w:p>
        </w:tc>
        <w:tc>
          <w:tcPr>
            <w:tcW w:w="4233" w:type="dxa"/>
            <w:noWrap w:val="0"/>
            <w:vAlign w:val="center"/>
          </w:tcPr>
          <w:p w14:paraId="521D87E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由村“两委”负责全面清查相关项目资金入股及分红情况，核实资金流向和相关合同协议的真实性、完整性；二是与相关工程队进行深入沟通协商，明确要求其尽快支付第一年的入股分红款，并限定支付期限。同时，密切跟踪支付进度，若逾期未支付，通过法律途径维护村集体权益；三是完善村集体资金管理制度，加强对类似项目资金的监管力度，建立健全资金使用审批流程和风险防控机制，确保今后不再出现类似资金管理漏洞和分红未及时兑付的情况。</w:t>
            </w:r>
          </w:p>
        </w:tc>
        <w:tc>
          <w:tcPr>
            <w:tcW w:w="1752" w:type="dxa"/>
            <w:noWrap w:val="0"/>
            <w:vAlign w:val="center"/>
          </w:tcPr>
          <w:p w14:paraId="78C31E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F06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5FEA9E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18</w:t>
            </w:r>
          </w:p>
        </w:tc>
        <w:tc>
          <w:tcPr>
            <w:tcW w:w="2152" w:type="dxa"/>
            <w:vMerge w:val="continue"/>
            <w:noWrap w:val="0"/>
            <w:vAlign w:val="center"/>
          </w:tcPr>
          <w:p w14:paraId="2B6A873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0DB07B5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4.</w:t>
            </w:r>
            <w:r>
              <w:rPr>
                <w:rFonts w:hint="eastAsia" w:eastAsia="方正仿宋简体" w:cs="（使用中文字体）"/>
                <w:b w:val="0"/>
                <w:bCs w:val="0"/>
                <w:color w:val="auto"/>
                <w:spacing w:val="6"/>
                <w:sz w:val="21"/>
                <w:szCs w:val="21"/>
                <w:highlight w:val="none"/>
                <w:u w:val="none" w:color="auto"/>
                <w:vertAlign w:val="baseline"/>
                <w:lang w:eastAsia="zh-CN"/>
              </w:rPr>
              <w:t>规范</w:t>
            </w:r>
            <w:r>
              <w:rPr>
                <w:rFonts w:hint="default" w:ascii="Times New Roman" w:hAnsi="Times New Roman" w:eastAsia="方正仿宋简体" w:cs="（使用中文字体）"/>
                <w:b w:val="0"/>
                <w:bCs w:val="0"/>
                <w:color w:val="auto"/>
                <w:spacing w:val="6"/>
                <w:sz w:val="21"/>
                <w:szCs w:val="21"/>
                <w:highlight w:val="none"/>
                <w:u w:val="none" w:color="auto"/>
                <w:vertAlign w:val="baseline"/>
              </w:rPr>
              <w:t>水费收缴工作。</w:t>
            </w:r>
          </w:p>
        </w:tc>
        <w:tc>
          <w:tcPr>
            <w:tcW w:w="4233" w:type="dxa"/>
            <w:noWrap w:val="0"/>
            <w:vAlign w:val="center"/>
          </w:tcPr>
          <w:p w14:paraId="71B8AEF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立即组织开展水费收缴情况全面清查，对各村民小组水费收支明细进行逐一梳理核对，确保账目清晰准确；二是建立健全水费收缴公示制度，明确公示内容、时间、地点等要求，定期在村组公示栏公示水费收缴及使用情况，接受村民监督；三是严格执行“村财乡管”制度，将水费管理纳入规范轨道，由乡财政所统一管理，规范资金收支流程，杜绝坐收坐支现象。</w:t>
            </w:r>
          </w:p>
        </w:tc>
        <w:tc>
          <w:tcPr>
            <w:tcW w:w="1752" w:type="dxa"/>
            <w:noWrap w:val="0"/>
            <w:vAlign w:val="center"/>
          </w:tcPr>
          <w:p w14:paraId="38CEC8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42D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0" w:hRule="atLeast"/>
          <w:jc w:val="center"/>
        </w:trPr>
        <w:tc>
          <w:tcPr>
            <w:tcW w:w="1703" w:type="dxa"/>
            <w:noWrap w:val="0"/>
            <w:vAlign w:val="center"/>
          </w:tcPr>
          <w:p w14:paraId="3E5134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19</w:t>
            </w:r>
          </w:p>
        </w:tc>
        <w:tc>
          <w:tcPr>
            <w:tcW w:w="2152" w:type="dxa"/>
            <w:vMerge w:val="restart"/>
            <w:noWrap w:val="0"/>
            <w:vAlign w:val="center"/>
          </w:tcPr>
          <w:p w14:paraId="7B6EDB8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r>
              <w:rPr>
                <w:rFonts w:hint="eastAsia" w:eastAsia="方正仿宋简体" w:cs="方正仿宋简体"/>
                <w:b w:val="0"/>
                <w:bCs w:val="0"/>
                <w:color w:val="auto"/>
                <w:spacing w:val="6"/>
                <w:sz w:val="21"/>
                <w:szCs w:val="21"/>
                <w:highlight w:val="none"/>
                <w:u w:val="none" w:color="auto"/>
                <w:vertAlign w:val="baseline"/>
                <w:lang w:eastAsia="zh-CN"/>
              </w:rPr>
              <w:t>七、关于</w:t>
            </w:r>
            <w:r>
              <w:rPr>
                <w:rFonts w:hint="eastAsia" w:ascii="Times New Roman" w:hAnsi="Times New Roman" w:eastAsia="方正仿宋简体" w:cs="方正仿宋简体"/>
                <w:b w:val="0"/>
                <w:bCs w:val="0"/>
                <w:color w:val="auto"/>
                <w:spacing w:val="6"/>
                <w:sz w:val="21"/>
                <w:szCs w:val="21"/>
                <w:highlight w:val="none"/>
                <w:u w:val="none" w:color="auto"/>
                <w:vertAlign w:val="baseline"/>
              </w:rPr>
              <w:t>检查基层党组织领导班子和干部队伍建设情况</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187" w:type="dxa"/>
            <w:noWrap w:val="0"/>
            <w:vAlign w:val="center"/>
          </w:tcPr>
          <w:p w14:paraId="77BAAD2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1.</w:t>
            </w:r>
            <w:r>
              <w:rPr>
                <w:rFonts w:hint="eastAsia" w:eastAsia="方正仿宋简体" w:cs="（使用中文字体）"/>
                <w:b w:val="0"/>
                <w:bCs w:val="0"/>
                <w:color w:val="auto"/>
                <w:spacing w:val="6"/>
                <w:sz w:val="21"/>
                <w:szCs w:val="21"/>
                <w:highlight w:val="none"/>
                <w:u w:val="none" w:color="auto"/>
                <w:vertAlign w:val="baseline"/>
                <w:lang w:eastAsia="zh-CN"/>
              </w:rPr>
              <w:t>抓实</w:t>
            </w:r>
            <w:r>
              <w:rPr>
                <w:rFonts w:hint="default" w:ascii="Times New Roman" w:hAnsi="Times New Roman" w:eastAsia="方正仿宋简体" w:cs="（使用中文字体）"/>
                <w:b w:val="0"/>
                <w:bCs w:val="0"/>
                <w:color w:val="auto"/>
                <w:spacing w:val="6"/>
                <w:sz w:val="21"/>
                <w:szCs w:val="21"/>
                <w:highlight w:val="none"/>
                <w:u w:val="none" w:color="auto"/>
                <w:vertAlign w:val="baseline"/>
              </w:rPr>
              <w:t>党建主体责任落实。</w:t>
            </w:r>
          </w:p>
        </w:tc>
        <w:tc>
          <w:tcPr>
            <w:tcW w:w="4233" w:type="dxa"/>
            <w:noWrap w:val="0"/>
            <w:vAlign w:val="center"/>
          </w:tcPr>
          <w:p w14:paraId="66306C5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村“两委”班子成员及全体党员深入学习组织生活会相关规定和要求，重点学习关于个人对照检查材料撰写标准的文件精神，通过集中学习、专题辅导、个人自学等方式，深刻领会组织生活会的重要意义，增强开好组织生活会的思想自觉；二是根据组织生活会要求，明确班子成员对照检查材料要紧密联系个人思想、工作和生活实际，重点围绕政治、思想、学习、工作、能力、纪律、作风等方面查找存在的问题，深入分析问题产生的原因，提出切实可行的整改措施，认真反思自身存在的问题，如实撰写个人对照检查材料，确保材料内容真实、准确、深刻；三是举一反三，结合此次巡察反馈问题和要求，组织班子成员逐一进行对照检查发言，认真开展批评与自我批评。批评要实事求是，出于公心，敢于直言，不绕弯子、不兜圈子，达到红脸出汗、排毒治病的效果。同时，要认真做好会议记录，确保会议过程真实、完整。</w:t>
            </w:r>
          </w:p>
        </w:tc>
        <w:tc>
          <w:tcPr>
            <w:tcW w:w="1752" w:type="dxa"/>
            <w:noWrap w:val="0"/>
            <w:vAlign w:val="center"/>
          </w:tcPr>
          <w:p w14:paraId="3D0720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083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55375C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20</w:t>
            </w:r>
          </w:p>
        </w:tc>
        <w:tc>
          <w:tcPr>
            <w:tcW w:w="2152" w:type="dxa"/>
            <w:vMerge w:val="continue"/>
            <w:noWrap w:val="0"/>
            <w:vAlign w:val="center"/>
          </w:tcPr>
          <w:p w14:paraId="49AC684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638A84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2.</w:t>
            </w:r>
            <w:r>
              <w:rPr>
                <w:rFonts w:hint="eastAsia" w:eastAsia="方正仿宋简体" w:cs="（使用中文字体）"/>
                <w:b w:val="0"/>
                <w:bCs w:val="0"/>
                <w:color w:val="auto"/>
                <w:spacing w:val="6"/>
                <w:sz w:val="21"/>
                <w:szCs w:val="21"/>
                <w:highlight w:val="none"/>
                <w:u w:val="none" w:color="auto"/>
                <w:vertAlign w:val="baseline"/>
                <w:lang w:eastAsia="zh-CN"/>
              </w:rPr>
              <w:t>强化</w:t>
            </w:r>
            <w:r>
              <w:rPr>
                <w:rFonts w:hint="default" w:ascii="Times New Roman" w:hAnsi="Times New Roman" w:eastAsia="方正仿宋简体" w:cs="（使用中文字体）"/>
                <w:b w:val="0"/>
                <w:bCs w:val="0"/>
                <w:color w:val="auto"/>
                <w:spacing w:val="6"/>
                <w:sz w:val="21"/>
                <w:szCs w:val="21"/>
                <w:highlight w:val="none"/>
                <w:u w:val="none" w:color="auto"/>
                <w:vertAlign w:val="baseline"/>
              </w:rPr>
              <w:t>党务知识</w:t>
            </w:r>
            <w:r>
              <w:rPr>
                <w:rFonts w:hint="eastAsia" w:eastAsia="方正仿宋简体" w:cs="（使用中文字体）"/>
                <w:b w:val="0"/>
                <w:bCs w:val="0"/>
                <w:color w:val="auto"/>
                <w:spacing w:val="6"/>
                <w:sz w:val="21"/>
                <w:szCs w:val="21"/>
                <w:highlight w:val="none"/>
                <w:u w:val="none" w:color="auto"/>
                <w:vertAlign w:val="baseline"/>
                <w:lang w:eastAsia="zh-CN"/>
              </w:rPr>
              <w:t>培训</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42382E4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根据民主评议党员相关政策规定，明确预备党员参加民主评议，评议的内容、要求和方法步骤均同于正式党员，但不评定等次。二是组织村党总支成员及下设党支部负责人认真学习民主评议党员相关政策法规和文件精神，结合本村实际，进一步细化民主评议党员的程序、内容和标准，明确评议各个环节的具体要求和时间节点，确保民主评议党员工作有章可循。三是定期召开会议研究部署党建工作，根据下设党支部实际需求，建立对党组织建设、党员管理、活动开展等方面的常态化指导机制，每季度对指导工作进行总结分析、查找问题，不断优化指导方式方法。</w:t>
            </w:r>
          </w:p>
        </w:tc>
        <w:tc>
          <w:tcPr>
            <w:tcW w:w="1752" w:type="dxa"/>
            <w:noWrap w:val="0"/>
            <w:vAlign w:val="center"/>
          </w:tcPr>
          <w:p w14:paraId="11B37D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6FC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31C7B8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21</w:t>
            </w:r>
          </w:p>
        </w:tc>
        <w:tc>
          <w:tcPr>
            <w:tcW w:w="2152" w:type="dxa"/>
            <w:vMerge w:val="continue"/>
            <w:noWrap w:val="0"/>
            <w:vAlign w:val="center"/>
          </w:tcPr>
          <w:p w14:paraId="7D5214D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72CAB57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3.</w:t>
            </w:r>
            <w:r>
              <w:rPr>
                <w:rFonts w:hint="eastAsia" w:eastAsia="方正仿宋简体" w:cs="（使用中文字体）"/>
                <w:b w:val="0"/>
                <w:bCs w:val="0"/>
                <w:color w:val="auto"/>
                <w:spacing w:val="6"/>
                <w:sz w:val="21"/>
                <w:szCs w:val="21"/>
                <w:highlight w:val="none"/>
                <w:u w:val="none" w:color="auto"/>
                <w:vertAlign w:val="baseline"/>
                <w:lang w:eastAsia="zh-CN"/>
              </w:rPr>
              <w:t>不断规范</w:t>
            </w:r>
            <w:r>
              <w:rPr>
                <w:rFonts w:hint="default" w:ascii="Times New Roman" w:hAnsi="Times New Roman" w:eastAsia="方正仿宋简体" w:cs="（使用中文字体）"/>
                <w:b w:val="0"/>
                <w:bCs w:val="0"/>
                <w:color w:val="auto"/>
                <w:spacing w:val="6"/>
                <w:sz w:val="21"/>
                <w:szCs w:val="21"/>
                <w:highlight w:val="none"/>
                <w:u w:val="none" w:color="auto"/>
                <w:vertAlign w:val="baseline"/>
              </w:rPr>
              <w:t>党建工作会议记录、档案</w:t>
            </w:r>
            <w:r>
              <w:rPr>
                <w:rFonts w:hint="eastAsia" w:eastAsia="方正仿宋简体" w:cs="（使用中文字体）"/>
                <w:b w:val="0"/>
                <w:bCs w:val="0"/>
                <w:color w:val="auto"/>
                <w:spacing w:val="6"/>
                <w:sz w:val="21"/>
                <w:szCs w:val="21"/>
                <w:highlight w:val="none"/>
                <w:u w:val="none" w:color="auto"/>
                <w:vertAlign w:val="baseline"/>
                <w:lang w:eastAsia="zh-CN"/>
              </w:rPr>
              <w:t>管理</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1960835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一是统一规范且详细的会议记录模板，明确规定除会议名称、时间、参会人员外，必须详细记录会议讨论事项、决策结果、工作部署等内容，由</w:t>
            </w:r>
            <w:r>
              <w:rPr>
                <w:rFonts w:hint="eastAsia" w:eastAsia="方正仿宋简体" w:cs="（使用中文字体）"/>
                <w:b w:val="0"/>
                <w:bCs w:val="0"/>
                <w:color w:val="auto"/>
                <w:spacing w:val="6"/>
                <w:sz w:val="21"/>
                <w:szCs w:val="21"/>
                <w:highlight w:val="none"/>
                <w:u w:val="none" w:color="auto"/>
                <w:vertAlign w:val="baseline"/>
                <w:lang w:eastAsia="zh-CN"/>
              </w:rPr>
              <w:t>党总支书记</w:t>
            </w:r>
            <w:r>
              <w:rPr>
                <w:rFonts w:hint="default" w:ascii="Times New Roman" w:hAnsi="Times New Roman" w:eastAsia="方正仿宋简体" w:cs="（使用中文字体）"/>
                <w:b w:val="0"/>
                <w:bCs w:val="0"/>
                <w:color w:val="auto"/>
                <w:spacing w:val="6"/>
                <w:sz w:val="21"/>
                <w:szCs w:val="21"/>
                <w:highlight w:val="none"/>
                <w:u w:val="none" w:color="auto"/>
                <w:vertAlign w:val="baseline"/>
              </w:rPr>
              <w:t>定期对会议记录进行抽查；二是分别指定专人记录村党总支会议、村委会会议，同时，适时公开决策过程和结果，主动接受群众监督。</w:t>
            </w:r>
          </w:p>
        </w:tc>
        <w:tc>
          <w:tcPr>
            <w:tcW w:w="1752" w:type="dxa"/>
            <w:noWrap w:val="0"/>
            <w:vAlign w:val="center"/>
          </w:tcPr>
          <w:p w14:paraId="7BF632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BF2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39713A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22</w:t>
            </w:r>
          </w:p>
        </w:tc>
        <w:tc>
          <w:tcPr>
            <w:tcW w:w="2152" w:type="dxa"/>
            <w:vMerge w:val="continue"/>
            <w:noWrap w:val="0"/>
            <w:vAlign w:val="center"/>
          </w:tcPr>
          <w:p w14:paraId="02600FB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54DDFB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c>
          <w:tcPr>
            <w:tcW w:w="4233" w:type="dxa"/>
            <w:noWrap w:val="0"/>
            <w:vAlign w:val="center"/>
          </w:tcPr>
          <w:p w14:paraId="60A4F24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一是针对党员大会选举支部委员台账中相关数据信息不一致的问题，</w:t>
            </w:r>
            <w:r>
              <w:rPr>
                <w:rFonts w:hint="eastAsia" w:eastAsia="方正仿宋简体" w:cs="（使用中文字体）"/>
                <w:b w:val="0"/>
                <w:bCs w:val="0"/>
                <w:color w:val="auto"/>
                <w:spacing w:val="6"/>
                <w:sz w:val="21"/>
                <w:szCs w:val="21"/>
                <w:highlight w:val="none"/>
                <w:u w:val="none" w:color="auto"/>
                <w:vertAlign w:val="baseline"/>
                <w:lang w:eastAsia="zh-CN"/>
              </w:rPr>
              <w:t>已</w:t>
            </w:r>
            <w:r>
              <w:rPr>
                <w:rFonts w:hint="default" w:ascii="Times New Roman" w:hAnsi="Times New Roman" w:eastAsia="方正仿宋简体" w:cs="（使用中文字体）"/>
                <w:b w:val="0"/>
                <w:bCs w:val="0"/>
                <w:color w:val="auto"/>
                <w:spacing w:val="6"/>
                <w:sz w:val="21"/>
                <w:szCs w:val="21"/>
                <w:highlight w:val="none"/>
                <w:u w:val="none" w:color="auto"/>
                <w:vertAlign w:val="baseline"/>
              </w:rPr>
              <w:t>安排专人对台账进行全面细致核对，重新梳理参会人员信息，确保数据准确无误，同时对已出现问题的台账页面进行规范更正；二是对各党支部选举委员结果公告中时间信息有误的情况，立即对相关内容进行核实和修正，在公告栏及相关存档处同步更新正确信息，规范公告流程；三是关于村“两委”补选委员材料档案盒内材料存放有误的问题，对档案盒内材料进行彻底清查，重新分类整理，将正确的补选委员材料归位存档，对误存的其他材料进行单独封存标记。</w:t>
            </w:r>
          </w:p>
        </w:tc>
        <w:tc>
          <w:tcPr>
            <w:tcW w:w="1752" w:type="dxa"/>
            <w:noWrap w:val="0"/>
            <w:vAlign w:val="center"/>
          </w:tcPr>
          <w:p w14:paraId="4AFFFB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A05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noWrap w:val="0"/>
            <w:vAlign w:val="center"/>
          </w:tcPr>
          <w:p w14:paraId="7C2EC6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23</w:t>
            </w:r>
          </w:p>
        </w:tc>
        <w:tc>
          <w:tcPr>
            <w:tcW w:w="2152" w:type="dxa"/>
            <w:noWrap w:val="0"/>
            <w:vAlign w:val="center"/>
          </w:tcPr>
          <w:p w14:paraId="2599D11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187" w:type="dxa"/>
            <w:noWrap w:val="0"/>
            <w:vAlign w:val="center"/>
          </w:tcPr>
          <w:p w14:paraId="58DB5F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4.加强农村基层民主建设、保障村民权益</w:t>
            </w:r>
            <w:r>
              <w:rPr>
                <w:rFonts w:hint="eastAsia" w:eastAsia="方正仿宋简体" w:cs="（使用中文字体）"/>
                <w:b w:val="0"/>
                <w:bCs w:val="0"/>
                <w:color w:val="auto"/>
                <w:spacing w:val="6"/>
                <w:sz w:val="21"/>
                <w:szCs w:val="21"/>
                <w:highlight w:val="none"/>
                <w:u w:val="none" w:color="auto"/>
                <w:vertAlign w:val="baseline"/>
                <w:lang w:eastAsia="zh-CN"/>
              </w:rPr>
              <w:t>整改</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4233" w:type="dxa"/>
            <w:noWrap w:val="0"/>
            <w:vAlign w:val="center"/>
          </w:tcPr>
          <w:p w14:paraId="72B9B08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全体村干部参加“四议两公开”工作法学习培训，详细讲解“四议两公开”的具体内容、操作流程以及重要意义，确保村干部深刻理解并掌握相关要求；二是组织村“两委”成员对村集体资产租赁、资金入股等重要事项进行全面清查，按照“四议两公开”的要求，逐一核对每个事项的决策过程是否合规。对于未落实“四议两公开”的事项，重新组织村党总支会提议、村“两委”会商议、党员大会审议、村民代表会议或村民会议决议，并将决议内容和实施结果及时向村民公开；三是建立健全“四议两公开”工作台账，对每一项重要事项的提议时间、商议情况、审议结果、决议内容、公开情况等进行详细记录，做到有据可查。同时，明确专人负责台账的管理和更新，确保台账信息的准确性和完整性。</w:t>
            </w:r>
          </w:p>
        </w:tc>
        <w:tc>
          <w:tcPr>
            <w:tcW w:w="1752" w:type="dxa"/>
            <w:noWrap w:val="0"/>
            <w:vAlign w:val="center"/>
          </w:tcPr>
          <w:p w14:paraId="7FB273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bl>
    <w:p w14:paraId="6C44B6C7"/>
    <w:sectPr>
      <w:footerReference r:id="rId3" w:type="default"/>
      <w:pgSz w:w="16838" w:h="11906" w:orient="landscape"/>
      <w:pgMar w:top="1587" w:right="2211" w:bottom="1474" w:left="187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使用中文字体）">
    <w:altName w:val="yyb"/>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yyb">
    <w:panose1 w:val="020B0200000000000000"/>
    <w:charset w:val="86"/>
    <w:family w:val="auto"/>
    <w:pitch w:val="default"/>
    <w:sig w:usb0="20000083" w:usb1="1000000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8A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77611"/>
    <w:rsid w:val="1BC77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szCs w:val="24"/>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ormal Indent1"/>
    <w:basedOn w:val="10"/>
    <w:qFormat/>
    <w:uiPriority w:val="0"/>
    <w:pPr>
      <w:ind w:firstLine="420" w:firstLineChars="200"/>
    </w:pPr>
  </w:style>
  <w:style w:type="paragraph" w:customStyle="1" w:styleId="10">
    <w:name w:val="正文 New New New"/>
    <w:next w:val="9"/>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2026-09-03T06:22:00Z</dcterms:created>
  <dc:creator>在水一方</dc:creator>
  <cp:lastModifiedBy>在水一方</cp:lastModifiedBy>
  <dcterms:modified xsi:type="dcterms:W3CDTF">2026-09-03T06:28:03Z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30382C4E0CE34F6D9E0BF4D2CD93CB88_11</vt:lpwstr>
  </property>
  <property fmtid="{D5CDD505-2E9C-101B-9397-08002B2CF9AE}" pid="4" name="KSOTemplateDocerSaveRecord">
    <vt:lpwstr>eyJoZGlkIjoiZjVkZGY1M2E5OTE3ZDk1MzRmZjIzNDNkMTIxMTcxYmIiLCJ1c2VySWQiOiI0NjM0MDM3NDMifQ==</vt:lpwstr>
  </property>
</Properties>
</file>