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14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81"/>
        <w:gridCol w:w="1573"/>
        <w:gridCol w:w="5005"/>
        <w:gridCol w:w="1688"/>
        <w:gridCol w:w="1961"/>
        <w:gridCol w:w="1342"/>
        <w:gridCol w:w="890"/>
      </w:tblGrid>
      <w:tr w14:paraId="48549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2281" w:type="dxa"/>
            <w:tcBorders>
              <w:top w:val="nil"/>
              <w:left w:val="nil"/>
              <w:bottom w:val="nil"/>
              <w:right w:val="nil"/>
            </w:tcBorders>
            <w:noWrap w:val="0"/>
            <w:vAlign w:val="center"/>
          </w:tcPr>
          <w:p w14:paraId="2A9E60F4">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bookmarkStart w:id="0" w:name="_GoBack"/>
            <w:r>
              <w:rPr>
                <w:rFonts w:ascii="宋体" w:hAnsi="宋体" w:eastAsia="宋体" w:cs="宋体"/>
                <w:i w:val="0"/>
                <w:iCs w:val="0"/>
                <w:color w:val="000000"/>
                <w:kern w:val="0"/>
                <w:sz w:val="24"/>
                <w:szCs w:val="24"/>
                <w:u w:val="none"/>
                <w:lang w:val="en-US" w:eastAsia="zh-CN" w:bidi="ar"/>
              </w:rPr>
              <w:t>附件</w:t>
            </w:r>
            <w:r>
              <w:rPr>
                <w:rFonts w:hint="default" w:ascii="Times New Roman" w:hAnsi="Times New Roman" w:eastAsia="宋体" w:cs="Times New Roman"/>
                <w:i w:val="0"/>
                <w:iCs w:val="0"/>
                <w:color w:val="000000"/>
                <w:kern w:val="0"/>
                <w:sz w:val="28"/>
                <w:szCs w:val="28"/>
                <w:u w:val="none"/>
                <w:lang w:val="en-US" w:eastAsia="zh-CN" w:bidi="ar"/>
              </w:rPr>
              <w:t>3</w:t>
            </w:r>
            <w:bookmarkEnd w:id="0"/>
          </w:p>
        </w:tc>
        <w:tc>
          <w:tcPr>
            <w:tcW w:w="1573" w:type="dxa"/>
            <w:tcBorders>
              <w:top w:val="nil"/>
              <w:left w:val="nil"/>
              <w:bottom w:val="nil"/>
              <w:right w:val="nil"/>
            </w:tcBorders>
            <w:noWrap w:val="0"/>
            <w:vAlign w:val="center"/>
          </w:tcPr>
          <w:p w14:paraId="17ACF093">
            <w:pPr>
              <w:rPr>
                <w:rFonts w:hint="default" w:ascii="Times New Roman" w:hAnsi="Times New Roman" w:eastAsia="宋体" w:cs="Times New Roman"/>
                <w:i w:val="0"/>
                <w:iCs w:val="0"/>
                <w:color w:val="000000"/>
                <w:sz w:val="24"/>
                <w:szCs w:val="24"/>
                <w:u w:val="none"/>
              </w:rPr>
            </w:pPr>
          </w:p>
        </w:tc>
        <w:tc>
          <w:tcPr>
            <w:tcW w:w="5005" w:type="dxa"/>
            <w:tcBorders>
              <w:top w:val="nil"/>
              <w:left w:val="nil"/>
              <w:bottom w:val="nil"/>
              <w:right w:val="nil"/>
            </w:tcBorders>
            <w:noWrap w:val="0"/>
            <w:vAlign w:val="center"/>
          </w:tcPr>
          <w:p w14:paraId="634669DB">
            <w:pPr>
              <w:jc w:val="left"/>
              <w:rPr>
                <w:rFonts w:hint="default" w:ascii="Times New Roman" w:hAnsi="Times New Roman" w:eastAsia="宋体" w:cs="Times New Roman"/>
                <w:i w:val="0"/>
                <w:iCs w:val="0"/>
                <w:color w:val="000000"/>
                <w:sz w:val="24"/>
                <w:szCs w:val="24"/>
                <w:u w:val="none"/>
              </w:rPr>
            </w:pPr>
          </w:p>
        </w:tc>
        <w:tc>
          <w:tcPr>
            <w:tcW w:w="1688" w:type="dxa"/>
            <w:tcBorders>
              <w:top w:val="nil"/>
              <w:left w:val="nil"/>
              <w:bottom w:val="nil"/>
              <w:right w:val="nil"/>
            </w:tcBorders>
            <w:noWrap w:val="0"/>
            <w:vAlign w:val="center"/>
          </w:tcPr>
          <w:p w14:paraId="7791FF35">
            <w:pPr>
              <w:jc w:val="center"/>
              <w:rPr>
                <w:rFonts w:hint="default" w:ascii="Times New Roman" w:hAnsi="Times New Roman" w:eastAsia="宋体" w:cs="Times New Roman"/>
                <w:i w:val="0"/>
                <w:iCs w:val="0"/>
                <w:color w:val="000000"/>
                <w:sz w:val="24"/>
                <w:szCs w:val="24"/>
                <w:u w:val="none"/>
              </w:rPr>
            </w:pPr>
          </w:p>
        </w:tc>
        <w:tc>
          <w:tcPr>
            <w:tcW w:w="1961" w:type="dxa"/>
            <w:tcBorders>
              <w:top w:val="nil"/>
              <w:left w:val="nil"/>
              <w:bottom w:val="nil"/>
              <w:right w:val="nil"/>
            </w:tcBorders>
            <w:noWrap w:val="0"/>
            <w:vAlign w:val="center"/>
          </w:tcPr>
          <w:p w14:paraId="40AE4D29">
            <w:pPr>
              <w:rPr>
                <w:rFonts w:hint="default" w:ascii="Times New Roman" w:hAnsi="Times New Roman" w:eastAsia="宋体" w:cs="Times New Roman"/>
                <w:i w:val="0"/>
                <w:iCs w:val="0"/>
                <w:color w:val="000000"/>
                <w:sz w:val="24"/>
                <w:szCs w:val="24"/>
                <w:u w:val="none"/>
              </w:rPr>
            </w:pPr>
          </w:p>
        </w:tc>
        <w:tc>
          <w:tcPr>
            <w:tcW w:w="1342" w:type="dxa"/>
            <w:tcBorders>
              <w:top w:val="nil"/>
              <w:left w:val="nil"/>
              <w:bottom w:val="nil"/>
              <w:right w:val="nil"/>
            </w:tcBorders>
            <w:noWrap w:val="0"/>
            <w:vAlign w:val="center"/>
          </w:tcPr>
          <w:p w14:paraId="2638C4A5">
            <w:pPr>
              <w:rPr>
                <w:rFonts w:hint="default" w:ascii="Times New Roman" w:hAnsi="Times New Roman" w:eastAsia="宋体" w:cs="Times New Roman"/>
                <w:i w:val="0"/>
                <w:iCs w:val="0"/>
                <w:color w:val="000000"/>
                <w:sz w:val="24"/>
                <w:szCs w:val="24"/>
                <w:u w:val="none"/>
              </w:rPr>
            </w:pPr>
          </w:p>
        </w:tc>
        <w:tc>
          <w:tcPr>
            <w:tcW w:w="890" w:type="dxa"/>
            <w:tcBorders>
              <w:top w:val="nil"/>
              <w:left w:val="nil"/>
              <w:bottom w:val="nil"/>
              <w:right w:val="nil"/>
            </w:tcBorders>
            <w:noWrap w:val="0"/>
            <w:vAlign w:val="center"/>
          </w:tcPr>
          <w:p w14:paraId="0F065997">
            <w:pPr>
              <w:rPr>
                <w:rFonts w:hint="default" w:ascii="Times New Roman" w:hAnsi="Times New Roman" w:eastAsia="宋体" w:cs="Times New Roman"/>
                <w:i w:val="0"/>
                <w:iCs w:val="0"/>
                <w:color w:val="000000"/>
                <w:sz w:val="24"/>
                <w:szCs w:val="24"/>
                <w:u w:val="none"/>
              </w:rPr>
            </w:pPr>
          </w:p>
        </w:tc>
      </w:tr>
      <w:tr w14:paraId="6C26B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4740" w:type="dxa"/>
            <w:gridSpan w:val="7"/>
            <w:tcBorders>
              <w:top w:val="nil"/>
              <w:left w:val="nil"/>
              <w:bottom w:val="nil"/>
              <w:right w:val="nil"/>
            </w:tcBorders>
            <w:noWrap w:val="0"/>
            <w:vAlign w:val="center"/>
          </w:tcPr>
          <w:p w14:paraId="4D109A83">
            <w:pPr>
              <w:keepNext w:val="0"/>
              <w:keepLines w:val="0"/>
              <w:widowControl/>
              <w:suppressLineNumbers w:val="0"/>
              <w:jc w:val="center"/>
              <w:textAlignment w:val="center"/>
              <w:rPr>
                <w:rFonts w:hint="default" w:ascii="Times New Roman" w:hAnsi="Times New Roman" w:eastAsia="宋体" w:cs="Times New Roman"/>
                <w:i w:val="0"/>
                <w:iCs w:val="0"/>
                <w:color w:val="000000"/>
                <w:sz w:val="44"/>
                <w:szCs w:val="44"/>
                <w:u w:val="none"/>
              </w:rPr>
            </w:pPr>
            <w:r>
              <w:rPr>
                <w:rFonts w:ascii="方正小标宋简体" w:hAnsi="方正小标宋简体" w:eastAsia="方正小标宋简体" w:cs="方正小标宋简体"/>
                <w:i w:val="0"/>
                <w:iCs w:val="0"/>
                <w:color w:val="000000"/>
                <w:kern w:val="0"/>
                <w:sz w:val="44"/>
                <w:szCs w:val="44"/>
                <w:u w:val="none"/>
                <w:lang w:val="en-US" w:eastAsia="zh-CN" w:bidi="ar"/>
              </w:rPr>
              <w:t>十三届县委第八轮巡察营盘村反馈问题</w:t>
            </w:r>
            <w:r>
              <w:rPr>
                <w:rFonts w:hint="eastAsia" w:ascii="方正小标宋简体" w:hAnsi="方正小标宋简体" w:eastAsia="方正小标宋简体" w:cs="方正小标宋简体"/>
                <w:i w:val="0"/>
                <w:iCs w:val="0"/>
                <w:color w:val="000000"/>
                <w:kern w:val="0"/>
                <w:sz w:val="44"/>
                <w:szCs w:val="44"/>
                <w:u w:val="none"/>
                <w:lang w:val="en-US" w:eastAsia="zh-CN" w:bidi="ar"/>
              </w:rPr>
              <w:t>社会公开</w:t>
            </w:r>
            <w:r>
              <w:rPr>
                <w:rFonts w:ascii="方正小标宋简体" w:hAnsi="方正小标宋简体" w:eastAsia="方正小标宋简体" w:cs="方正小标宋简体"/>
                <w:i w:val="0"/>
                <w:iCs w:val="0"/>
                <w:color w:val="000000"/>
                <w:kern w:val="0"/>
                <w:sz w:val="44"/>
                <w:szCs w:val="44"/>
                <w:u w:val="none"/>
                <w:lang w:val="en-US" w:eastAsia="zh-CN" w:bidi="ar"/>
              </w:rPr>
              <w:t>台账</w:t>
            </w:r>
          </w:p>
        </w:tc>
      </w:tr>
      <w:tr w14:paraId="47A3E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4740" w:type="dxa"/>
            <w:gridSpan w:val="7"/>
            <w:tcBorders>
              <w:top w:val="nil"/>
              <w:left w:val="nil"/>
              <w:bottom w:val="nil"/>
              <w:right w:val="nil"/>
            </w:tcBorders>
            <w:noWrap w:val="0"/>
            <w:vAlign w:val="center"/>
          </w:tcPr>
          <w:p w14:paraId="33C8B64E">
            <w:pPr>
              <w:keepNext w:val="0"/>
              <w:keepLines w:val="0"/>
              <w:widowControl/>
              <w:suppressLineNumbers w:val="0"/>
              <w:jc w:val="left"/>
              <w:textAlignment w:val="center"/>
              <w:rPr>
                <w:rFonts w:hint="default" w:ascii="Times New Roman" w:hAnsi="Times New Roman" w:eastAsia="宋体" w:cs="Times New Roman"/>
                <w:i w:val="0"/>
                <w:iCs w:val="0"/>
                <w:color w:val="000000"/>
                <w:sz w:val="32"/>
                <w:szCs w:val="32"/>
                <w:u w:val="none"/>
              </w:rPr>
            </w:pPr>
            <w:r>
              <w:rPr>
                <w:rFonts w:hint="default" w:ascii="Times New Roman" w:hAnsi="Times New Roman" w:eastAsia="方正仿宋简体" w:cs="Times New Roman"/>
                <w:i w:val="0"/>
                <w:iCs w:val="0"/>
                <w:color w:val="000000"/>
                <w:kern w:val="0"/>
                <w:sz w:val="32"/>
                <w:szCs w:val="32"/>
                <w:u w:val="none"/>
                <w:lang w:val="en-US" w:eastAsia="zh-CN" w:bidi="ar"/>
              </w:rPr>
              <w:t>填报单位（加盖公章）：</w:t>
            </w:r>
            <w:r>
              <w:rPr>
                <w:rFonts w:hint="eastAsia" w:eastAsia="方正仿宋简体" w:cs="Times New Roman"/>
                <w:i w:val="0"/>
                <w:iCs w:val="0"/>
                <w:color w:val="000000"/>
                <w:kern w:val="0"/>
                <w:sz w:val="32"/>
                <w:szCs w:val="32"/>
                <w:u w:val="none"/>
                <w:lang w:val="en-US" w:eastAsia="zh-CN" w:bidi="ar"/>
              </w:rPr>
              <w:t>中共发展河哈尼族乡委员会</w:t>
            </w:r>
            <w:r>
              <w:rPr>
                <w:rFonts w:hint="default" w:ascii="Times New Roman" w:hAnsi="Times New Roman" w:eastAsia="方正仿宋简体" w:cs="Times New Roman"/>
                <w:i w:val="0"/>
                <w:iCs w:val="0"/>
                <w:color w:val="000000"/>
                <w:kern w:val="0"/>
                <w:sz w:val="32"/>
                <w:szCs w:val="32"/>
                <w:u w:val="none"/>
                <w:lang w:val="en-US" w:eastAsia="zh-CN" w:bidi="ar"/>
              </w:rPr>
              <w:t xml:space="preserve">                  填报日期：202</w:t>
            </w:r>
            <w:r>
              <w:rPr>
                <w:rFonts w:hint="eastAsia" w:ascii="Times New Roman" w:hAnsi="Times New Roman" w:eastAsia="方正仿宋简体" w:cs="Times New Roman"/>
                <w:i w:val="0"/>
                <w:iCs w:val="0"/>
                <w:color w:val="000000"/>
                <w:kern w:val="0"/>
                <w:sz w:val="32"/>
                <w:szCs w:val="32"/>
                <w:u w:val="none"/>
                <w:lang w:val="en-US" w:eastAsia="zh-CN" w:bidi="ar"/>
              </w:rPr>
              <w:t>6</w:t>
            </w:r>
            <w:r>
              <w:rPr>
                <w:rFonts w:hint="default" w:ascii="Times New Roman" w:hAnsi="Times New Roman" w:eastAsia="方正仿宋简体" w:cs="Times New Roman"/>
                <w:i w:val="0"/>
                <w:iCs w:val="0"/>
                <w:color w:val="000000"/>
                <w:kern w:val="0"/>
                <w:sz w:val="32"/>
                <w:szCs w:val="32"/>
                <w:u w:val="none"/>
                <w:lang w:val="en-US" w:eastAsia="zh-CN" w:bidi="ar"/>
              </w:rPr>
              <w:t>年</w:t>
            </w:r>
            <w:r>
              <w:rPr>
                <w:rFonts w:hint="eastAsia" w:eastAsia="方正仿宋简体" w:cs="Times New Roman"/>
                <w:i w:val="0"/>
                <w:iCs w:val="0"/>
                <w:color w:val="000000"/>
                <w:kern w:val="0"/>
                <w:sz w:val="32"/>
                <w:szCs w:val="32"/>
                <w:u w:val="none"/>
                <w:lang w:val="en-US" w:eastAsia="zh-CN" w:bidi="ar"/>
              </w:rPr>
              <w:t>8</w:t>
            </w:r>
            <w:r>
              <w:rPr>
                <w:rFonts w:hint="default" w:ascii="Times New Roman" w:hAnsi="Times New Roman" w:eastAsia="方正仿宋简体" w:cs="Times New Roman"/>
                <w:i w:val="0"/>
                <w:iCs w:val="0"/>
                <w:color w:val="000000"/>
                <w:kern w:val="0"/>
                <w:sz w:val="32"/>
                <w:szCs w:val="32"/>
                <w:u w:val="none"/>
                <w:lang w:val="en-US" w:eastAsia="zh-CN" w:bidi="ar"/>
              </w:rPr>
              <w:t>月</w:t>
            </w:r>
            <w:r>
              <w:rPr>
                <w:rFonts w:hint="eastAsia" w:eastAsia="方正仿宋简体" w:cs="Times New Roman"/>
                <w:i w:val="0"/>
                <w:iCs w:val="0"/>
                <w:color w:val="000000"/>
                <w:kern w:val="0"/>
                <w:sz w:val="32"/>
                <w:szCs w:val="32"/>
                <w:u w:val="none"/>
                <w:lang w:val="en-US" w:eastAsia="zh-CN" w:bidi="ar"/>
              </w:rPr>
              <w:t>28</w:t>
            </w:r>
            <w:r>
              <w:rPr>
                <w:rFonts w:hint="default" w:ascii="Times New Roman" w:hAnsi="Times New Roman" w:eastAsia="方正仿宋简体" w:cs="Times New Roman"/>
                <w:i w:val="0"/>
                <w:iCs w:val="0"/>
                <w:color w:val="000000"/>
                <w:kern w:val="0"/>
                <w:sz w:val="32"/>
                <w:szCs w:val="32"/>
                <w:u w:val="none"/>
                <w:lang w:val="en-US" w:eastAsia="zh-CN" w:bidi="ar"/>
              </w:rPr>
              <w:t xml:space="preserve">日 </w:t>
            </w:r>
            <w:r>
              <w:rPr>
                <w:rFonts w:hint="default" w:ascii="Times New Roman" w:hAnsi="Times New Roman" w:eastAsia="宋体" w:cs="Times New Roman"/>
                <w:i w:val="0"/>
                <w:iCs w:val="0"/>
                <w:color w:val="000000"/>
                <w:kern w:val="0"/>
                <w:sz w:val="32"/>
                <w:szCs w:val="32"/>
                <w:u w:val="none"/>
                <w:lang w:val="en-US" w:eastAsia="zh-CN" w:bidi="ar"/>
              </w:rPr>
              <w:t xml:space="preserve"> </w:t>
            </w:r>
            <w:r>
              <w:rPr>
                <w:rFonts w:hint="default" w:ascii="Times New Roman" w:hAnsi="Times New Roman" w:eastAsia="方正仿宋简体" w:cs="Times New Roman"/>
                <w:i w:val="0"/>
                <w:iCs w:val="0"/>
                <w:color w:val="000000"/>
                <w:kern w:val="0"/>
                <w:sz w:val="32"/>
                <w:szCs w:val="32"/>
                <w:u w:val="none"/>
                <w:lang w:val="en-US" w:eastAsia="zh-CN" w:bidi="ar"/>
              </w:rPr>
              <w:t xml:space="preserve">     </w:t>
            </w:r>
            <w:r>
              <w:rPr>
                <w:rFonts w:hint="eastAsia" w:ascii="Times New Roman" w:hAnsi="Times New Roman" w:cs="Times New Roman"/>
                <w:i w:val="0"/>
                <w:iCs w:val="0"/>
                <w:color w:val="000000"/>
                <w:kern w:val="0"/>
                <w:sz w:val="32"/>
                <w:szCs w:val="32"/>
                <w:u w:val="none"/>
                <w:lang w:val="en-US" w:eastAsia="zh-CN" w:bidi="ar"/>
              </w:rPr>
              <w:t xml:space="preserve">        </w:t>
            </w:r>
            <w:r>
              <w:rPr>
                <w:rFonts w:hint="default" w:ascii="Times New Roman" w:hAnsi="Times New Roman" w:eastAsia="方正仿宋简体" w:cs="Times New Roman"/>
                <w:i w:val="0"/>
                <w:iCs w:val="0"/>
                <w:color w:val="000000"/>
                <w:kern w:val="0"/>
                <w:sz w:val="32"/>
                <w:szCs w:val="32"/>
                <w:u w:val="none"/>
                <w:lang w:val="en-US" w:eastAsia="zh-CN" w:bidi="ar"/>
              </w:rPr>
              <w:t xml:space="preserve">                    </w:t>
            </w:r>
            <w:r>
              <w:rPr>
                <w:rFonts w:hint="default" w:ascii="Times New Roman" w:hAnsi="Times New Roman" w:eastAsia="宋体" w:cs="Times New Roman"/>
                <w:i w:val="0"/>
                <w:iCs w:val="0"/>
                <w:color w:val="000000"/>
                <w:kern w:val="0"/>
                <w:sz w:val="32"/>
                <w:szCs w:val="32"/>
                <w:u w:val="none"/>
                <w:lang w:val="en-US" w:eastAsia="zh-CN" w:bidi="ar"/>
              </w:rPr>
              <w:t xml:space="preserve">                                                                                                   </w:t>
            </w:r>
          </w:p>
        </w:tc>
      </w:tr>
    </w:tbl>
    <w:p w14:paraId="64521F29"/>
    <w:tbl>
      <w:tblPr>
        <w:tblStyle w:val="6"/>
        <w:tblW w:w="127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45"/>
        <w:gridCol w:w="2238"/>
        <w:gridCol w:w="1320"/>
        <w:gridCol w:w="6427"/>
        <w:gridCol w:w="1530"/>
      </w:tblGrid>
      <w:tr w14:paraId="7898F0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15" w:hRule="atLeast"/>
          <w:jc w:val="center"/>
        </w:trPr>
        <w:tc>
          <w:tcPr>
            <w:tcW w:w="1245" w:type="dxa"/>
            <w:tcBorders>
              <w:tl2br w:val="nil"/>
              <w:tr2bl w:val="nil"/>
            </w:tcBorders>
            <w:noWrap w:val="0"/>
            <w:vAlign w:val="center"/>
          </w:tcPr>
          <w:p w14:paraId="4D572DF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ascii="方正黑体简体" w:hAnsi="方正黑体简体" w:eastAsia="方正黑体简体" w:cs="方正黑体简体"/>
                <w:i w:val="0"/>
                <w:iCs w:val="0"/>
                <w:color w:val="000000"/>
                <w:kern w:val="0"/>
                <w:sz w:val="24"/>
                <w:szCs w:val="24"/>
                <w:u w:val="none"/>
                <w:lang w:val="en-US" w:eastAsia="zh-CN" w:bidi="ar"/>
              </w:rPr>
              <w:t>序号</w:t>
            </w:r>
          </w:p>
        </w:tc>
        <w:tc>
          <w:tcPr>
            <w:tcW w:w="2238" w:type="dxa"/>
            <w:tcBorders>
              <w:tl2br w:val="nil"/>
              <w:tr2bl w:val="nil"/>
            </w:tcBorders>
            <w:noWrap w:val="0"/>
            <w:vAlign w:val="center"/>
          </w:tcPr>
          <w:p w14:paraId="291199E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ascii="方正黑体简体" w:hAnsi="方正黑体简体" w:eastAsia="方正黑体简体" w:cs="方正黑体简体"/>
                <w:i w:val="0"/>
                <w:iCs w:val="0"/>
                <w:color w:val="000000"/>
                <w:kern w:val="0"/>
                <w:sz w:val="24"/>
                <w:szCs w:val="24"/>
                <w:u w:val="none"/>
                <w:lang w:val="en-US" w:eastAsia="zh-CN" w:bidi="ar"/>
              </w:rPr>
              <w:t>问题分类</w:t>
            </w:r>
          </w:p>
        </w:tc>
        <w:tc>
          <w:tcPr>
            <w:tcW w:w="1320" w:type="dxa"/>
            <w:tcBorders>
              <w:tl2br w:val="nil"/>
              <w:tr2bl w:val="nil"/>
            </w:tcBorders>
            <w:noWrap w:val="0"/>
            <w:vAlign w:val="center"/>
          </w:tcPr>
          <w:p w14:paraId="57543C3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eastAsia="方正黑体简体" w:cs="Times New Roman"/>
                <w:i w:val="0"/>
                <w:iCs w:val="0"/>
                <w:color w:val="000000"/>
                <w:kern w:val="0"/>
                <w:sz w:val="24"/>
                <w:szCs w:val="24"/>
                <w:u w:val="none"/>
                <w:lang w:val="en-US" w:eastAsia="zh-CN" w:bidi="ar"/>
              </w:rPr>
              <w:t>主要措施</w:t>
            </w:r>
          </w:p>
        </w:tc>
        <w:tc>
          <w:tcPr>
            <w:tcW w:w="6427" w:type="dxa"/>
            <w:tcBorders>
              <w:tl2br w:val="nil"/>
              <w:tr2bl w:val="nil"/>
            </w:tcBorders>
            <w:noWrap w:val="0"/>
            <w:vAlign w:val="center"/>
          </w:tcPr>
          <w:p w14:paraId="1024F92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ascii="方正黑体简体" w:hAnsi="方正黑体简体" w:eastAsia="方正黑体简体" w:cs="方正黑体简体"/>
                <w:i w:val="0"/>
                <w:iCs w:val="0"/>
                <w:color w:val="000000"/>
                <w:kern w:val="0"/>
                <w:sz w:val="24"/>
                <w:szCs w:val="24"/>
                <w:u w:val="none"/>
                <w:lang w:val="en-US" w:eastAsia="zh-CN" w:bidi="ar"/>
              </w:rPr>
              <w:t>整改工作及成效</w:t>
            </w:r>
          </w:p>
        </w:tc>
        <w:tc>
          <w:tcPr>
            <w:tcW w:w="1530" w:type="dxa"/>
            <w:tcBorders>
              <w:tl2br w:val="nil"/>
              <w:tr2bl w:val="nil"/>
            </w:tcBorders>
            <w:noWrap w:val="0"/>
            <w:vAlign w:val="center"/>
          </w:tcPr>
          <w:p w14:paraId="1AE82F5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ascii="方正黑体简体" w:hAnsi="方正黑体简体" w:eastAsia="方正黑体简体" w:cs="方正黑体简体"/>
                <w:i w:val="0"/>
                <w:iCs w:val="0"/>
                <w:color w:val="000000"/>
                <w:kern w:val="0"/>
                <w:sz w:val="24"/>
                <w:szCs w:val="24"/>
                <w:u w:val="none"/>
                <w:lang w:val="en-US" w:eastAsia="zh-CN" w:bidi="ar"/>
              </w:rPr>
              <w:t>备注</w:t>
            </w:r>
          </w:p>
        </w:tc>
      </w:tr>
      <w:tr w14:paraId="68DAB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11" w:hRule="atLeast"/>
          <w:jc w:val="center"/>
        </w:trPr>
        <w:tc>
          <w:tcPr>
            <w:tcW w:w="1245" w:type="dxa"/>
            <w:tcBorders>
              <w:tl2br w:val="nil"/>
              <w:tr2bl w:val="nil"/>
            </w:tcBorders>
            <w:noWrap w:val="0"/>
            <w:vAlign w:val="center"/>
          </w:tcPr>
          <w:p w14:paraId="75DFDB4E">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1</w:t>
            </w:r>
          </w:p>
        </w:tc>
        <w:tc>
          <w:tcPr>
            <w:tcW w:w="2238" w:type="dxa"/>
            <w:vMerge w:val="restart"/>
            <w:tcBorders>
              <w:tl2br w:val="nil"/>
              <w:tr2bl w:val="nil"/>
            </w:tcBorders>
            <w:noWrap w:val="0"/>
            <w:vAlign w:val="center"/>
          </w:tcPr>
          <w:p w14:paraId="2B59B414">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2"/>
                <w:szCs w:val="22"/>
                <w:u w:val="none"/>
              </w:rPr>
            </w:pPr>
            <w:r>
              <w:rPr>
                <w:rStyle w:val="8"/>
                <w:rFonts w:hint="default" w:ascii="Times New Roman" w:hAnsi="Times New Roman" w:eastAsia="方正仿宋简体" w:cs="Times New Roman"/>
                <w:sz w:val="22"/>
                <w:szCs w:val="22"/>
                <w:lang w:val="en-US" w:eastAsia="zh-CN" w:bidi="ar"/>
              </w:rPr>
              <w:t>一、关于检查巡视巡察、审计等监督发现问题整改</w:t>
            </w:r>
            <w:r>
              <w:rPr>
                <w:rFonts w:hint="default" w:ascii="Times New Roman" w:hAnsi="Times New Roman" w:eastAsia="方正仿宋简体" w:cs="Times New Roman"/>
                <w:i w:val="0"/>
                <w:iCs w:val="0"/>
                <w:color w:val="000000"/>
                <w:kern w:val="0"/>
                <w:sz w:val="22"/>
                <w:szCs w:val="22"/>
                <w:u w:val="none"/>
                <w:lang w:val="en-US" w:eastAsia="zh-CN" w:bidi="ar"/>
              </w:rPr>
              <w:t>方面的整改进展情况</w:t>
            </w:r>
          </w:p>
        </w:tc>
        <w:tc>
          <w:tcPr>
            <w:tcW w:w="1320" w:type="dxa"/>
            <w:tcBorders>
              <w:tl2br w:val="nil"/>
              <w:tr2bl w:val="nil"/>
            </w:tcBorders>
            <w:noWrap w:val="0"/>
            <w:vAlign w:val="center"/>
          </w:tcPr>
          <w:p w14:paraId="55DA03B9">
            <w:pPr>
              <w:keepNext w:val="0"/>
              <w:keepLines w:val="0"/>
              <w:widowControl/>
              <w:suppressLineNumbers w:val="0"/>
              <w:jc w:val="left"/>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1.扛牢</w:t>
            </w:r>
            <w:r>
              <w:rPr>
                <w:rStyle w:val="8"/>
                <w:rFonts w:hint="default" w:ascii="Times New Roman" w:hAnsi="Times New Roman" w:eastAsia="方正仿宋简体" w:cs="Times New Roman"/>
                <w:sz w:val="22"/>
                <w:szCs w:val="22"/>
                <w:lang w:val="en-US" w:eastAsia="zh-CN" w:bidi="ar"/>
              </w:rPr>
              <w:t>整改责任</w:t>
            </w:r>
          </w:p>
        </w:tc>
        <w:tc>
          <w:tcPr>
            <w:tcW w:w="6427" w:type="dxa"/>
            <w:tcBorders>
              <w:tl2br w:val="nil"/>
              <w:tr2bl w:val="nil"/>
            </w:tcBorders>
            <w:noWrap w:val="0"/>
            <w:vAlign w:val="center"/>
          </w:tcPr>
          <w:p w14:paraId="7C0A5FCB">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一是</w:t>
            </w:r>
            <w:r>
              <w:rPr>
                <w:rStyle w:val="8"/>
                <w:b w:val="0"/>
                <w:bCs w:val="0"/>
                <w:sz w:val="22"/>
                <w:szCs w:val="22"/>
                <w:lang w:val="en-US" w:eastAsia="zh-CN" w:bidi="ar"/>
              </w:rPr>
              <w:t>严格落实会议制度，按要求及时召开村党总支会议，确保党组织议事决策功能正常发挥。</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二是</w:t>
            </w:r>
            <w:r>
              <w:rPr>
                <w:rStyle w:val="8"/>
                <w:b w:val="0"/>
                <w:bCs w:val="0"/>
                <w:sz w:val="22"/>
                <w:szCs w:val="22"/>
                <w:lang w:val="en-US" w:eastAsia="zh-CN" w:bidi="ar"/>
              </w:rPr>
              <w:t>完善巡察整改台账，规范会议记录管理，并为不同会议配备专门记录本，实现</w:t>
            </w:r>
            <w:r>
              <w:rPr>
                <w:rFonts w:hint="default" w:ascii="Times New Roman" w:hAnsi="Times New Roman" w:eastAsia="宋体" w:cs="Times New Roman"/>
                <w:b w:val="0"/>
                <w:bCs w:val="0"/>
                <w:i w:val="0"/>
                <w:iCs w:val="0"/>
                <w:color w:val="000000"/>
                <w:kern w:val="0"/>
                <w:sz w:val="22"/>
                <w:szCs w:val="22"/>
                <w:u w:val="none"/>
                <w:lang w:val="en-US" w:eastAsia="zh-CN" w:bidi="ar"/>
              </w:rPr>
              <w:t xml:space="preserve"> </w:t>
            </w:r>
            <w:r>
              <w:rPr>
                <w:rFonts w:hint="eastAsia" w:cs="Times New Roman"/>
                <w:b w:val="0"/>
                <w:bCs w:val="0"/>
                <w:i w:val="0"/>
                <w:iCs w:val="0"/>
                <w:color w:val="000000"/>
                <w:kern w:val="0"/>
                <w:sz w:val="22"/>
                <w:szCs w:val="22"/>
                <w:u w:val="none"/>
                <w:lang w:val="en-US" w:eastAsia="zh-CN" w:bidi="ar"/>
              </w:rPr>
              <w:t>“</w:t>
            </w:r>
            <w:r>
              <w:rPr>
                <w:rStyle w:val="8"/>
                <w:b w:val="0"/>
                <w:bCs w:val="0"/>
                <w:sz w:val="22"/>
                <w:szCs w:val="22"/>
                <w:lang w:val="en-US" w:eastAsia="zh-CN" w:bidi="ar"/>
              </w:rPr>
              <w:t>一人专记、一会一本</w:t>
            </w:r>
            <w:r>
              <w:rPr>
                <w:rFonts w:hint="eastAsia" w:cs="Times New Roman"/>
                <w:b w:val="0"/>
                <w:bCs w:val="0"/>
                <w:i w:val="0"/>
                <w:iCs w:val="0"/>
                <w:color w:val="000000"/>
                <w:kern w:val="0"/>
                <w:sz w:val="22"/>
                <w:szCs w:val="22"/>
                <w:u w:val="none"/>
                <w:lang w:val="en-US" w:eastAsia="zh-CN" w:bidi="ar"/>
              </w:rPr>
              <w:t>”</w:t>
            </w:r>
            <w:r>
              <w:rPr>
                <w:rStyle w:val="8"/>
                <w:b w:val="0"/>
                <w:bCs w:val="0"/>
                <w:sz w:val="22"/>
                <w:szCs w:val="22"/>
                <w:lang w:val="en-US" w:eastAsia="zh-CN" w:bidi="ar"/>
              </w:rPr>
              <w:t>。</w:t>
            </w:r>
          </w:p>
        </w:tc>
        <w:tc>
          <w:tcPr>
            <w:tcW w:w="1530" w:type="dxa"/>
            <w:tcBorders>
              <w:tl2br w:val="nil"/>
              <w:tr2bl w:val="nil"/>
            </w:tcBorders>
            <w:noWrap w:val="0"/>
            <w:vAlign w:val="center"/>
          </w:tcPr>
          <w:p w14:paraId="0A5FB48C">
            <w:pPr>
              <w:rPr>
                <w:rFonts w:hint="default" w:ascii="Times New Roman" w:hAnsi="Times New Roman" w:eastAsia="宋体" w:cs="Times New Roman"/>
                <w:i w:val="0"/>
                <w:iCs w:val="0"/>
                <w:color w:val="000000"/>
                <w:sz w:val="24"/>
                <w:szCs w:val="24"/>
                <w:u w:val="none"/>
              </w:rPr>
            </w:pPr>
          </w:p>
        </w:tc>
      </w:tr>
      <w:tr w14:paraId="3B773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90" w:hRule="atLeast"/>
          <w:jc w:val="center"/>
        </w:trPr>
        <w:tc>
          <w:tcPr>
            <w:tcW w:w="1245" w:type="dxa"/>
            <w:tcBorders>
              <w:tl2br w:val="nil"/>
              <w:tr2bl w:val="nil"/>
            </w:tcBorders>
            <w:noWrap w:val="0"/>
            <w:vAlign w:val="center"/>
          </w:tcPr>
          <w:p w14:paraId="13550FFD">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2</w:t>
            </w:r>
          </w:p>
        </w:tc>
        <w:tc>
          <w:tcPr>
            <w:tcW w:w="2238" w:type="dxa"/>
            <w:vMerge w:val="continue"/>
            <w:tcBorders>
              <w:tl2br w:val="nil"/>
              <w:tr2bl w:val="nil"/>
            </w:tcBorders>
            <w:noWrap w:val="0"/>
            <w:vAlign w:val="center"/>
          </w:tcPr>
          <w:p w14:paraId="78244B4C">
            <w:pPr>
              <w:jc w:val="center"/>
              <w:rPr>
                <w:rFonts w:hint="default" w:ascii="Times New Roman" w:hAnsi="Times New Roman" w:eastAsia="方正仿宋简体" w:cs="Times New Roman"/>
                <w:i w:val="0"/>
                <w:iCs w:val="0"/>
                <w:color w:val="000000"/>
                <w:sz w:val="22"/>
                <w:szCs w:val="22"/>
                <w:u w:val="none"/>
              </w:rPr>
            </w:pPr>
          </w:p>
        </w:tc>
        <w:tc>
          <w:tcPr>
            <w:tcW w:w="1320" w:type="dxa"/>
            <w:vMerge w:val="restart"/>
            <w:tcBorders>
              <w:tl2br w:val="nil"/>
              <w:tr2bl w:val="nil"/>
            </w:tcBorders>
            <w:noWrap w:val="0"/>
            <w:vAlign w:val="center"/>
          </w:tcPr>
          <w:p w14:paraId="2927C83D">
            <w:pPr>
              <w:keepNext w:val="0"/>
              <w:keepLines w:val="0"/>
              <w:widowControl/>
              <w:suppressLineNumbers w:val="0"/>
              <w:jc w:val="left"/>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2.持续强化</w:t>
            </w:r>
            <w:r>
              <w:rPr>
                <w:rStyle w:val="8"/>
                <w:rFonts w:hint="default" w:ascii="Times New Roman" w:hAnsi="Times New Roman" w:eastAsia="方正仿宋简体" w:cs="Times New Roman"/>
                <w:sz w:val="22"/>
                <w:szCs w:val="22"/>
                <w:lang w:val="en-US" w:eastAsia="zh-CN" w:bidi="ar"/>
              </w:rPr>
              <w:t>巡察整改</w:t>
            </w:r>
          </w:p>
        </w:tc>
        <w:tc>
          <w:tcPr>
            <w:tcW w:w="6427" w:type="dxa"/>
            <w:tcBorders>
              <w:tl2br w:val="nil"/>
              <w:tr2bl w:val="nil"/>
            </w:tcBorders>
            <w:noWrap w:val="0"/>
            <w:vAlign w:val="center"/>
          </w:tcPr>
          <w:p w14:paraId="4519E546">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sz w:val="22"/>
                <w:szCs w:val="22"/>
                <w:u w:val="none"/>
              </w:rPr>
            </w:pPr>
            <w:r>
              <w:rPr>
                <w:rStyle w:val="8"/>
                <w:b w:val="0"/>
                <w:bCs w:val="0"/>
                <w:sz w:val="22"/>
                <w:szCs w:val="22"/>
                <w:lang w:val="en-US" w:eastAsia="zh-CN" w:bidi="ar"/>
              </w:rPr>
              <w:t>组织人员对接沟通，做好思想疏导，收集相关情况材料及法院判决材料；召开村</w:t>
            </w:r>
            <w:r>
              <w:rPr>
                <w:rFonts w:hint="eastAsia" w:cs="Times New Roman"/>
                <w:b w:val="0"/>
                <w:bCs w:val="0"/>
                <w:i w:val="0"/>
                <w:iCs w:val="0"/>
                <w:color w:val="000000"/>
                <w:kern w:val="0"/>
                <w:sz w:val="22"/>
                <w:szCs w:val="22"/>
                <w:u w:val="none"/>
                <w:lang w:val="en-US" w:eastAsia="zh-CN" w:bidi="ar"/>
              </w:rPr>
              <w:t>“</w:t>
            </w:r>
            <w:r>
              <w:rPr>
                <w:rStyle w:val="8"/>
                <w:b w:val="0"/>
                <w:bCs w:val="0"/>
                <w:sz w:val="22"/>
                <w:szCs w:val="22"/>
                <w:lang w:val="en-US" w:eastAsia="zh-CN" w:bidi="ar"/>
              </w:rPr>
              <w:t>两委</w:t>
            </w:r>
            <w:r>
              <w:rPr>
                <w:rFonts w:hint="eastAsia" w:cs="Times New Roman"/>
                <w:b w:val="0"/>
                <w:bCs w:val="0"/>
                <w:i w:val="0"/>
                <w:iCs w:val="0"/>
                <w:color w:val="000000"/>
                <w:kern w:val="0"/>
                <w:sz w:val="22"/>
                <w:szCs w:val="22"/>
                <w:u w:val="none"/>
                <w:lang w:val="en-US" w:eastAsia="zh-CN" w:bidi="ar"/>
              </w:rPr>
              <w:t>”</w:t>
            </w:r>
            <w:r>
              <w:rPr>
                <w:rStyle w:val="8"/>
                <w:b w:val="0"/>
                <w:bCs w:val="0"/>
                <w:sz w:val="22"/>
                <w:szCs w:val="22"/>
                <w:lang w:val="en-US" w:eastAsia="zh-CN" w:bidi="ar"/>
              </w:rPr>
              <w:t>专题会议研究，及时向乡党委政府提交《营盘村村民委员会关于帮助解决违法占用耕地问题请示》，寻求上级支持。</w:t>
            </w:r>
          </w:p>
        </w:tc>
        <w:tc>
          <w:tcPr>
            <w:tcW w:w="1530" w:type="dxa"/>
            <w:tcBorders>
              <w:tl2br w:val="nil"/>
              <w:tr2bl w:val="nil"/>
            </w:tcBorders>
            <w:noWrap w:val="0"/>
            <w:vAlign w:val="center"/>
          </w:tcPr>
          <w:p w14:paraId="06782E06">
            <w:pPr>
              <w:rPr>
                <w:rFonts w:hint="default" w:ascii="Times New Roman" w:hAnsi="Times New Roman" w:eastAsia="宋体" w:cs="Times New Roman"/>
                <w:i w:val="0"/>
                <w:iCs w:val="0"/>
                <w:color w:val="000000"/>
                <w:sz w:val="24"/>
                <w:szCs w:val="24"/>
                <w:u w:val="none"/>
              </w:rPr>
            </w:pPr>
          </w:p>
        </w:tc>
      </w:tr>
      <w:tr w14:paraId="5F37C4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38" w:hRule="atLeast"/>
          <w:jc w:val="center"/>
        </w:trPr>
        <w:tc>
          <w:tcPr>
            <w:tcW w:w="1245" w:type="dxa"/>
            <w:tcBorders>
              <w:tl2br w:val="nil"/>
              <w:tr2bl w:val="nil"/>
            </w:tcBorders>
            <w:noWrap w:val="0"/>
            <w:vAlign w:val="center"/>
          </w:tcPr>
          <w:p w14:paraId="78039AB1">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3</w:t>
            </w:r>
          </w:p>
        </w:tc>
        <w:tc>
          <w:tcPr>
            <w:tcW w:w="2238" w:type="dxa"/>
            <w:vMerge w:val="continue"/>
            <w:tcBorders>
              <w:tl2br w:val="nil"/>
              <w:tr2bl w:val="nil"/>
            </w:tcBorders>
            <w:noWrap w:val="0"/>
            <w:vAlign w:val="center"/>
          </w:tcPr>
          <w:p w14:paraId="1C37B46F">
            <w:pPr>
              <w:jc w:val="center"/>
              <w:rPr>
                <w:rFonts w:hint="default" w:ascii="Times New Roman" w:hAnsi="Times New Roman" w:eastAsia="方正仿宋简体" w:cs="Times New Roman"/>
                <w:i w:val="0"/>
                <w:iCs w:val="0"/>
                <w:color w:val="000000"/>
                <w:sz w:val="22"/>
                <w:szCs w:val="22"/>
                <w:u w:val="none"/>
              </w:rPr>
            </w:pPr>
          </w:p>
        </w:tc>
        <w:tc>
          <w:tcPr>
            <w:tcW w:w="1320" w:type="dxa"/>
            <w:vMerge w:val="continue"/>
            <w:tcBorders>
              <w:tl2br w:val="nil"/>
              <w:tr2bl w:val="nil"/>
            </w:tcBorders>
            <w:noWrap w:val="0"/>
            <w:vAlign w:val="center"/>
          </w:tcPr>
          <w:p w14:paraId="64F8632D">
            <w:pPr>
              <w:jc w:val="left"/>
              <w:rPr>
                <w:rFonts w:hint="default" w:ascii="Times New Roman" w:hAnsi="Times New Roman" w:eastAsia="方正仿宋简体" w:cs="Times New Roman"/>
                <w:i w:val="0"/>
                <w:iCs w:val="0"/>
                <w:color w:val="000000"/>
                <w:sz w:val="22"/>
                <w:szCs w:val="22"/>
                <w:u w:val="none"/>
              </w:rPr>
            </w:pPr>
          </w:p>
        </w:tc>
        <w:tc>
          <w:tcPr>
            <w:tcW w:w="6427" w:type="dxa"/>
            <w:tcBorders>
              <w:tl2br w:val="nil"/>
              <w:tr2bl w:val="nil"/>
            </w:tcBorders>
            <w:noWrap w:val="0"/>
            <w:vAlign w:val="center"/>
          </w:tcPr>
          <w:p w14:paraId="1A0EB0EC">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sz w:val="22"/>
                <w:szCs w:val="22"/>
                <w:u w:val="none"/>
              </w:rPr>
            </w:pPr>
            <w:r>
              <w:rPr>
                <w:rStyle w:val="8"/>
                <w:b w:val="0"/>
                <w:bCs w:val="0"/>
                <w:sz w:val="22"/>
                <w:szCs w:val="22"/>
                <w:lang w:val="en-US" w:eastAsia="zh-CN" w:bidi="ar"/>
              </w:rPr>
              <w:t>明确专人负责会议记录，为不同会议配备专门记录本；组织记录人员培训，明确记录需包含讨论议题、参会人员发言要点、形成的决议等关键信息。</w:t>
            </w:r>
          </w:p>
        </w:tc>
        <w:tc>
          <w:tcPr>
            <w:tcW w:w="1530" w:type="dxa"/>
            <w:tcBorders>
              <w:tl2br w:val="nil"/>
              <w:tr2bl w:val="nil"/>
            </w:tcBorders>
            <w:noWrap w:val="0"/>
            <w:vAlign w:val="center"/>
          </w:tcPr>
          <w:p w14:paraId="0263D081">
            <w:pPr>
              <w:rPr>
                <w:rFonts w:hint="default" w:ascii="Times New Roman" w:hAnsi="Times New Roman" w:eastAsia="宋体" w:cs="Times New Roman"/>
                <w:i w:val="0"/>
                <w:iCs w:val="0"/>
                <w:color w:val="000000"/>
                <w:sz w:val="24"/>
                <w:szCs w:val="24"/>
                <w:u w:val="none"/>
              </w:rPr>
            </w:pPr>
          </w:p>
        </w:tc>
      </w:tr>
      <w:tr w14:paraId="24A3FF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2" w:hRule="atLeast"/>
          <w:jc w:val="center"/>
        </w:trPr>
        <w:tc>
          <w:tcPr>
            <w:tcW w:w="1245" w:type="dxa"/>
            <w:tcBorders>
              <w:tl2br w:val="nil"/>
              <w:tr2bl w:val="nil"/>
            </w:tcBorders>
            <w:noWrap w:val="0"/>
            <w:vAlign w:val="center"/>
          </w:tcPr>
          <w:p w14:paraId="7B71C825">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4</w:t>
            </w:r>
          </w:p>
        </w:tc>
        <w:tc>
          <w:tcPr>
            <w:tcW w:w="2238" w:type="dxa"/>
            <w:vMerge w:val="restart"/>
            <w:tcBorders>
              <w:tl2br w:val="nil"/>
              <w:tr2bl w:val="nil"/>
            </w:tcBorders>
            <w:noWrap w:val="0"/>
            <w:vAlign w:val="center"/>
          </w:tcPr>
          <w:p w14:paraId="01ABD571">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2"/>
                <w:szCs w:val="22"/>
                <w:u w:val="none"/>
              </w:rPr>
            </w:pPr>
            <w:r>
              <w:rPr>
                <w:rStyle w:val="8"/>
                <w:rFonts w:hint="default" w:ascii="Times New Roman" w:hAnsi="Times New Roman" w:eastAsia="方正仿宋简体" w:cs="Times New Roman"/>
                <w:sz w:val="22"/>
                <w:szCs w:val="22"/>
                <w:lang w:val="en-US" w:eastAsia="zh-CN" w:bidi="ar"/>
              </w:rPr>
              <w:t>二、</w:t>
            </w:r>
            <w:r>
              <w:rPr>
                <w:rFonts w:hint="default" w:ascii="Times New Roman" w:hAnsi="Times New Roman" w:eastAsia="方正仿宋简体" w:cs="Times New Roman"/>
                <w:i w:val="0"/>
                <w:iCs w:val="0"/>
                <w:color w:val="000000"/>
                <w:kern w:val="0"/>
                <w:sz w:val="22"/>
                <w:szCs w:val="22"/>
                <w:u w:val="none"/>
                <w:lang w:val="en-US" w:eastAsia="zh-CN" w:bidi="ar"/>
              </w:rPr>
              <w:t>关于检查学习贯彻习近平新时代中国特色社会主义思想和党的二十大和二十届二中、三中全会精神，加强政治建设方面的整改进展情况</w:t>
            </w:r>
          </w:p>
        </w:tc>
        <w:tc>
          <w:tcPr>
            <w:tcW w:w="1320" w:type="dxa"/>
            <w:tcBorders>
              <w:tl2br w:val="nil"/>
              <w:tr2bl w:val="nil"/>
            </w:tcBorders>
            <w:noWrap w:val="0"/>
            <w:vAlign w:val="center"/>
          </w:tcPr>
          <w:p w14:paraId="1110874F">
            <w:pPr>
              <w:keepNext w:val="0"/>
              <w:keepLines w:val="0"/>
              <w:widowControl/>
              <w:suppressLineNumbers w:val="0"/>
              <w:jc w:val="left"/>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1.加强</w:t>
            </w:r>
            <w:r>
              <w:rPr>
                <w:rStyle w:val="8"/>
                <w:rFonts w:hint="default" w:ascii="Times New Roman" w:hAnsi="Times New Roman" w:eastAsia="方正仿宋简体" w:cs="Times New Roman"/>
                <w:sz w:val="22"/>
                <w:szCs w:val="22"/>
                <w:lang w:val="en-US" w:eastAsia="zh-CN" w:bidi="ar"/>
              </w:rPr>
              <w:t>政治理论学习</w:t>
            </w:r>
          </w:p>
        </w:tc>
        <w:tc>
          <w:tcPr>
            <w:tcW w:w="6427" w:type="dxa"/>
            <w:tcBorders>
              <w:tl2br w:val="nil"/>
              <w:tr2bl w:val="nil"/>
            </w:tcBorders>
            <w:noWrap w:val="0"/>
            <w:vAlign w:val="center"/>
          </w:tcPr>
          <w:p w14:paraId="2522F7F3">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一是</w:t>
            </w:r>
            <w:r>
              <w:rPr>
                <w:rStyle w:val="8"/>
                <w:b w:val="0"/>
                <w:bCs w:val="0"/>
                <w:sz w:val="22"/>
                <w:szCs w:val="22"/>
                <w:lang w:val="en-US" w:eastAsia="zh-CN" w:bidi="ar"/>
              </w:rPr>
              <w:t>建立了村级政治理论学习制度。</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二是</w:t>
            </w:r>
            <w:r>
              <w:rPr>
                <w:rStyle w:val="8"/>
                <w:b w:val="0"/>
                <w:bCs w:val="0"/>
                <w:sz w:val="22"/>
                <w:szCs w:val="22"/>
                <w:lang w:val="en-US" w:eastAsia="zh-CN" w:bidi="ar"/>
              </w:rPr>
              <w:t>要求班子成员做好学习笔记，定期交流学习心得，提升用党的创新理论指导实践的能力。</w:t>
            </w:r>
          </w:p>
        </w:tc>
        <w:tc>
          <w:tcPr>
            <w:tcW w:w="1530" w:type="dxa"/>
            <w:tcBorders>
              <w:tl2br w:val="nil"/>
              <w:tr2bl w:val="nil"/>
            </w:tcBorders>
            <w:noWrap w:val="0"/>
            <w:vAlign w:val="center"/>
          </w:tcPr>
          <w:p w14:paraId="44267926">
            <w:pPr>
              <w:rPr>
                <w:rFonts w:hint="default" w:ascii="Times New Roman" w:hAnsi="Times New Roman" w:eastAsia="宋体" w:cs="Times New Roman"/>
                <w:i w:val="0"/>
                <w:iCs w:val="0"/>
                <w:color w:val="000000"/>
                <w:sz w:val="24"/>
                <w:szCs w:val="24"/>
                <w:u w:val="none"/>
              </w:rPr>
            </w:pPr>
          </w:p>
        </w:tc>
      </w:tr>
      <w:tr w14:paraId="239E8D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4" w:hRule="atLeast"/>
          <w:jc w:val="center"/>
        </w:trPr>
        <w:tc>
          <w:tcPr>
            <w:tcW w:w="1245" w:type="dxa"/>
            <w:tcBorders>
              <w:tl2br w:val="nil"/>
              <w:tr2bl w:val="nil"/>
            </w:tcBorders>
            <w:noWrap w:val="0"/>
            <w:vAlign w:val="center"/>
          </w:tcPr>
          <w:p w14:paraId="200E0634">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5</w:t>
            </w:r>
          </w:p>
        </w:tc>
        <w:tc>
          <w:tcPr>
            <w:tcW w:w="2238" w:type="dxa"/>
            <w:vMerge w:val="continue"/>
            <w:tcBorders>
              <w:tl2br w:val="nil"/>
              <w:tr2bl w:val="nil"/>
            </w:tcBorders>
            <w:noWrap w:val="0"/>
            <w:vAlign w:val="center"/>
          </w:tcPr>
          <w:p w14:paraId="2FC3BF56">
            <w:pPr>
              <w:jc w:val="center"/>
              <w:rPr>
                <w:rFonts w:hint="default" w:ascii="Times New Roman" w:hAnsi="Times New Roman" w:eastAsia="方正仿宋简体" w:cs="Times New Roman"/>
                <w:i w:val="0"/>
                <w:iCs w:val="0"/>
                <w:color w:val="000000"/>
                <w:sz w:val="22"/>
                <w:szCs w:val="22"/>
                <w:u w:val="none"/>
              </w:rPr>
            </w:pPr>
          </w:p>
        </w:tc>
        <w:tc>
          <w:tcPr>
            <w:tcW w:w="1320" w:type="dxa"/>
            <w:vMerge w:val="restart"/>
            <w:tcBorders>
              <w:tl2br w:val="nil"/>
              <w:tr2bl w:val="nil"/>
            </w:tcBorders>
            <w:noWrap w:val="0"/>
            <w:vAlign w:val="center"/>
          </w:tcPr>
          <w:p w14:paraId="5D66E3E3">
            <w:pPr>
              <w:keepNext w:val="0"/>
              <w:keepLines w:val="0"/>
              <w:widowControl/>
              <w:suppressLineNumbers w:val="0"/>
              <w:jc w:val="left"/>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2.严格管理</w:t>
            </w:r>
            <w:r>
              <w:rPr>
                <w:rStyle w:val="8"/>
                <w:rFonts w:hint="default" w:ascii="Times New Roman" w:hAnsi="Times New Roman" w:eastAsia="方正仿宋简体" w:cs="Times New Roman"/>
                <w:sz w:val="22"/>
                <w:szCs w:val="22"/>
                <w:lang w:val="en-US" w:eastAsia="zh-CN" w:bidi="ar"/>
              </w:rPr>
              <w:t>意识形态阵地</w:t>
            </w:r>
          </w:p>
        </w:tc>
        <w:tc>
          <w:tcPr>
            <w:tcW w:w="6427" w:type="dxa"/>
            <w:tcBorders>
              <w:tl2br w:val="nil"/>
              <w:tr2bl w:val="nil"/>
            </w:tcBorders>
            <w:noWrap w:val="0"/>
            <w:vAlign w:val="center"/>
          </w:tcPr>
          <w:p w14:paraId="3A6A260D">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sz w:val="22"/>
                <w:szCs w:val="22"/>
                <w:u w:val="none"/>
              </w:rPr>
            </w:pPr>
            <w:r>
              <w:rPr>
                <w:rStyle w:val="8"/>
                <w:b w:val="0"/>
                <w:bCs w:val="0"/>
                <w:sz w:val="22"/>
                <w:szCs w:val="22"/>
                <w:lang w:val="en-US" w:eastAsia="zh-CN" w:bidi="ar"/>
              </w:rPr>
              <w:t>完善了应急广播综合管理制度，确保应急广播正常发挥宣传作用。</w:t>
            </w:r>
          </w:p>
        </w:tc>
        <w:tc>
          <w:tcPr>
            <w:tcW w:w="1530" w:type="dxa"/>
            <w:tcBorders>
              <w:tl2br w:val="nil"/>
              <w:tr2bl w:val="nil"/>
            </w:tcBorders>
            <w:noWrap w:val="0"/>
            <w:vAlign w:val="center"/>
          </w:tcPr>
          <w:p w14:paraId="03C1C623">
            <w:pPr>
              <w:rPr>
                <w:rFonts w:hint="default" w:ascii="Times New Roman" w:hAnsi="Times New Roman" w:eastAsia="宋体" w:cs="Times New Roman"/>
                <w:i w:val="0"/>
                <w:iCs w:val="0"/>
                <w:color w:val="000000"/>
                <w:sz w:val="24"/>
                <w:szCs w:val="24"/>
                <w:u w:val="none"/>
              </w:rPr>
            </w:pPr>
          </w:p>
        </w:tc>
      </w:tr>
      <w:tr w14:paraId="4DE5DA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0" w:hRule="atLeast"/>
          <w:jc w:val="center"/>
        </w:trPr>
        <w:tc>
          <w:tcPr>
            <w:tcW w:w="1245" w:type="dxa"/>
            <w:tcBorders>
              <w:tl2br w:val="nil"/>
              <w:tr2bl w:val="nil"/>
            </w:tcBorders>
            <w:noWrap w:val="0"/>
            <w:vAlign w:val="center"/>
          </w:tcPr>
          <w:p w14:paraId="61A0D337">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6</w:t>
            </w:r>
          </w:p>
        </w:tc>
        <w:tc>
          <w:tcPr>
            <w:tcW w:w="2238" w:type="dxa"/>
            <w:vMerge w:val="continue"/>
            <w:tcBorders>
              <w:tl2br w:val="nil"/>
              <w:tr2bl w:val="nil"/>
            </w:tcBorders>
            <w:noWrap w:val="0"/>
            <w:vAlign w:val="center"/>
          </w:tcPr>
          <w:p w14:paraId="59166093">
            <w:pPr>
              <w:jc w:val="center"/>
              <w:rPr>
                <w:rFonts w:hint="default" w:ascii="Times New Roman" w:hAnsi="Times New Roman" w:eastAsia="方正仿宋简体" w:cs="Times New Roman"/>
                <w:i w:val="0"/>
                <w:iCs w:val="0"/>
                <w:color w:val="000000"/>
                <w:sz w:val="22"/>
                <w:szCs w:val="22"/>
                <w:u w:val="none"/>
              </w:rPr>
            </w:pPr>
          </w:p>
        </w:tc>
        <w:tc>
          <w:tcPr>
            <w:tcW w:w="1320" w:type="dxa"/>
            <w:vMerge w:val="continue"/>
            <w:tcBorders>
              <w:tl2br w:val="nil"/>
              <w:tr2bl w:val="nil"/>
            </w:tcBorders>
            <w:noWrap w:val="0"/>
            <w:vAlign w:val="center"/>
          </w:tcPr>
          <w:p w14:paraId="032EA9D5">
            <w:pPr>
              <w:jc w:val="left"/>
              <w:rPr>
                <w:rFonts w:hint="default" w:ascii="Times New Roman" w:hAnsi="Times New Roman" w:eastAsia="方正仿宋简体" w:cs="Times New Roman"/>
                <w:i w:val="0"/>
                <w:iCs w:val="0"/>
                <w:color w:val="000000"/>
                <w:sz w:val="22"/>
                <w:szCs w:val="22"/>
                <w:u w:val="none"/>
              </w:rPr>
            </w:pPr>
          </w:p>
        </w:tc>
        <w:tc>
          <w:tcPr>
            <w:tcW w:w="6427" w:type="dxa"/>
            <w:tcBorders>
              <w:tl2br w:val="nil"/>
              <w:tr2bl w:val="nil"/>
            </w:tcBorders>
            <w:noWrap w:val="0"/>
            <w:vAlign w:val="center"/>
          </w:tcPr>
          <w:p w14:paraId="292BD04C">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sz w:val="22"/>
                <w:szCs w:val="22"/>
                <w:u w:val="none"/>
              </w:rPr>
            </w:pPr>
            <w:r>
              <w:rPr>
                <w:rStyle w:val="8"/>
                <w:b w:val="0"/>
                <w:bCs w:val="0"/>
                <w:sz w:val="22"/>
                <w:szCs w:val="22"/>
                <w:lang w:val="en-US" w:eastAsia="zh-CN" w:bidi="ar"/>
              </w:rPr>
              <w:t>梳理了文明实践活动清单，通过村公告栏进行了公示，并确保后续活动提前公示；通过张贴海报、村广播宣传等方式营造氛围，组织技能培训、文化娱乐等符合村民需求的活动。</w:t>
            </w:r>
          </w:p>
        </w:tc>
        <w:tc>
          <w:tcPr>
            <w:tcW w:w="1530" w:type="dxa"/>
            <w:tcBorders>
              <w:tl2br w:val="nil"/>
              <w:tr2bl w:val="nil"/>
            </w:tcBorders>
            <w:noWrap w:val="0"/>
            <w:vAlign w:val="center"/>
          </w:tcPr>
          <w:p w14:paraId="0B61DA4C">
            <w:pPr>
              <w:rPr>
                <w:rFonts w:hint="default" w:ascii="Times New Roman" w:hAnsi="Times New Roman" w:eastAsia="宋体" w:cs="Times New Roman"/>
                <w:i w:val="0"/>
                <w:iCs w:val="0"/>
                <w:color w:val="000000"/>
                <w:sz w:val="24"/>
                <w:szCs w:val="24"/>
                <w:u w:val="none"/>
              </w:rPr>
            </w:pPr>
          </w:p>
        </w:tc>
      </w:tr>
      <w:tr w14:paraId="60C30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8" w:hRule="atLeast"/>
          <w:jc w:val="center"/>
        </w:trPr>
        <w:tc>
          <w:tcPr>
            <w:tcW w:w="1245" w:type="dxa"/>
            <w:tcBorders>
              <w:tl2br w:val="nil"/>
              <w:tr2bl w:val="nil"/>
            </w:tcBorders>
            <w:noWrap w:val="0"/>
            <w:vAlign w:val="center"/>
          </w:tcPr>
          <w:p w14:paraId="5FB66A1C">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7</w:t>
            </w:r>
          </w:p>
        </w:tc>
        <w:tc>
          <w:tcPr>
            <w:tcW w:w="2238" w:type="dxa"/>
            <w:vMerge w:val="continue"/>
            <w:tcBorders>
              <w:tl2br w:val="nil"/>
              <w:tr2bl w:val="nil"/>
            </w:tcBorders>
            <w:noWrap w:val="0"/>
            <w:vAlign w:val="center"/>
          </w:tcPr>
          <w:p w14:paraId="594AD27B">
            <w:pPr>
              <w:jc w:val="center"/>
              <w:rPr>
                <w:rFonts w:hint="default" w:ascii="Times New Roman" w:hAnsi="Times New Roman" w:eastAsia="方正仿宋简体" w:cs="Times New Roman"/>
                <w:i w:val="0"/>
                <w:iCs w:val="0"/>
                <w:color w:val="000000"/>
                <w:sz w:val="22"/>
                <w:szCs w:val="22"/>
                <w:u w:val="none"/>
              </w:rPr>
            </w:pPr>
          </w:p>
        </w:tc>
        <w:tc>
          <w:tcPr>
            <w:tcW w:w="1320" w:type="dxa"/>
            <w:vMerge w:val="continue"/>
            <w:tcBorders>
              <w:tl2br w:val="nil"/>
              <w:tr2bl w:val="nil"/>
            </w:tcBorders>
            <w:noWrap w:val="0"/>
            <w:vAlign w:val="center"/>
          </w:tcPr>
          <w:p w14:paraId="3A910AEB">
            <w:pPr>
              <w:jc w:val="left"/>
              <w:rPr>
                <w:rFonts w:hint="default" w:ascii="Times New Roman" w:hAnsi="Times New Roman" w:eastAsia="方正仿宋简体" w:cs="Times New Roman"/>
                <w:i w:val="0"/>
                <w:iCs w:val="0"/>
                <w:color w:val="000000"/>
                <w:sz w:val="22"/>
                <w:szCs w:val="22"/>
                <w:u w:val="none"/>
              </w:rPr>
            </w:pPr>
          </w:p>
        </w:tc>
        <w:tc>
          <w:tcPr>
            <w:tcW w:w="6427" w:type="dxa"/>
            <w:tcBorders>
              <w:tl2br w:val="nil"/>
              <w:tr2bl w:val="nil"/>
            </w:tcBorders>
            <w:noWrap w:val="0"/>
            <w:vAlign w:val="center"/>
          </w:tcPr>
          <w:p w14:paraId="20ECAF55">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sz w:val="22"/>
                <w:szCs w:val="22"/>
                <w:u w:val="none"/>
              </w:rPr>
            </w:pPr>
            <w:r>
              <w:rPr>
                <w:rStyle w:val="8"/>
                <w:b w:val="0"/>
                <w:bCs w:val="0"/>
                <w:sz w:val="22"/>
                <w:szCs w:val="22"/>
                <w:lang w:val="en-US" w:eastAsia="zh-CN" w:bidi="ar"/>
              </w:rPr>
              <w:t>对政治规范用语表述不准确的内容进行了修改；组织相关人员学习了政治规范用语规定，提升政治敏锐性；建立宣传内容审核机制。</w:t>
            </w:r>
          </w:p>
        </w:tc>
        <w:tc>
          <w:tcPr>
            <w:tcW w:w="1530" w:type="dxa"/>
            <w:tcBorders>
              <w:tl2br w:val="nil"/>
              <w:tr2bl w:val="nil"/>
            </w:tcBorders>
            <w:noWrap w:val="0"/>
            <w:vAlign w:val="center"/>
          </w:tcPr>
          <w:p w14:paraId="5AAD0609">
            <w:pPr>
              <w:rPr>
                <w:rFonts w:hint="default" w:ascii="Times New Roman" w:hAnsi="Times New Roman" w:eastAsia="宋体" w:cs="Times New Roman"/>
                <w:i w:val="0"/>
                <w:iCs w:val="0"/>
                <w:color w:val="000000"/>
                <w:sz w:val="24"/>
                <w:szCs w:val="24"/>
                <w:u w:val="none"/>
              </w:rPr>
            </w:pPr>
          </w:p>
        </w:tc>
      </w:tr>
      <w:tr w14:paraId="6D7517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4" w:hRule="atLeast"/>
          <w:jc w:val="center"/>
        </w:trPr>
        <w:tc>
          <w:tcPr>
            <w:tcW w:w="1245" w:type="dxa"/>
            <w:tcBorders>
              <w:tl2br w:val="nil"/>
              <w:tr2bl w:val="nil"/>
            </w:tcBorders>
            <w:noWrap w:val="0"/>
            <w:vAlign w:val="center"/>
          </w:tcPr>
          <w:p w14:paraId="66D59774">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8</w:t>
            </w:r>
          </w:p>
        </w:tc>
        <w:tc>
          <w:tcPr>
            <w:tcW w:w="2238" w:type="dxa"/>
            <w:vMerge w:val="continue"/>
            <w:tcBorders>
              <w:tl2br w:val="nil"/>
              <w:tr2bl w:val="nil"/>
            </w:tcBorders>
            <w:noWrap w:val="0"/>
            <w:vAlign w:val="center"/>
          </w:tcPr>
          <w:p w14:paraId="66A43932">
            <w:pPr>
              <w:jc w:val="center"/>
              <w:rPr>
                <w:rFonts w:hint="default" w:ascii="Times New Roman" w:hAnsi="Times New Roman" w:eastAsia="方正仿宋简体" w:cs="Times New Roman"/>
                <w:i w:val="0"/>
                <w:iCs w:val="0"/>
                <w:color w:val="000000"/>
                <w:sz w:val="22"/>
                <w:szCs w:val="22"/>
                <w:u w:val="none"/>
              </w:rPr>
            </w:pPr>
          </w:p>
        </w:tc>
        <w:tc>
          <w:tcPr>
            <w:tcW w:w="1320" w:type="dxa"/>
            <w:vMerge w:val="continue"/>
            <w:tcBorders>
              <w:tl2br w:val="nil"/>
              <w:tr2bl w:val="nil"/>
            </w:tcBorders>
            <w:noWrap w:val="0"/>
            <w:vAlign w:val="center"/>
          </w:tcPr>
          <w:p w14:paraId="73DAB250">
            <w:pPr>
              <w:jc w:val="left"/>
              <w:rPr>
                <w:rFonts w:hint="default" w:ascii="Times New Roman" w:hAnsi="Times New Roman" w:eastAsia="方正仿宋简体" w:cs="Times New Roman"/>
                <w:i w:val="0"/>
                <w:iCs w:val="0"/>
                <w:color w:val="000000"/>
                <w:sz w:val="22"/>
                <w:szCs w:val="22"/>
                <w:u w:val="none"/>
              </w:rPr>
            </w:pPr>
          </w:p>
        </w:tc>
        <w:tc>
          <w:tcPr>
            <w:tcW w:w="6427" w:type="dxa"/>
            <w:tcBorders>
              <w:tl2br w:val="nil"/>
              <w:tr2bl w:val="nil"/>
            </w:tcBorders>
            <w:noWrap w:val="0"/>
            <w:vAlign w:val="center"/>
          </w:tcPr>
          <w:p w14:paraId="3594B126">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sz w:val="22"/>
                <w:szCs w:val="22"/>
                <w:u w:val="none"/>
              </w:rPr>
            </w:pPr>
            <w:r>
              <w:rPr>
                <w:rStyle w:val="8"/>
                <w:b w:val="0"/>
                <w:bCs w:val="0"/>
                <w:sz w:val="22"/>
                <w:szCs w:val="22"/>
                <w:lang w:val="en-US" w:eastAsia="zh-CN" w:bidi="ar"/>
              </w:rPr>
              <w:t>更换了村民委员会宣传栏；修复小组活动室旗杆并悬挂国旗。</w:t>
            </w:r>
          </w:p>
        </w:tc>
        <w:tc>
          <w:tcPr>
            <w:tcW w:w="1530" w:type="dxa"/>
            <w:tcBorders>
              <w:tl2br w:val="nil"/>
              <w:tr2bl w:val="nil"/>
            </w:tcBorders>
            <w:noWrap w:val="0"/>
            <w:vAlign w:val="center"/>
          </w:tcPr>
          <w:p w14:paraId="440D2920">
            <w:pPr>
              <w:rPr>
                <w:rFonts w:hint="default" w:ascii="Times New Roman" w:hAnsi="Times New Roman" w:eastAsia="宋体" w:cs="Times New Roman"/>
                <w:i w:val="0"/>
                <w:iCs w:val="0"/>
                <w:color w:val="000000"/>
                <w:sz w:val="24"/>
                <w:szCs w:val="24"/>
                <w:u w:val="none"/>
              </w:rPr>
            </w:pPr>
          </w:p>
        </w:tc>
      </w:tr>
      <w:tr w14:paraId="55E4C3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2" w:hRule="atLeast"/>
          <w:jc w:val="center"/>
        </w:trPr>
        <w:tc>
          <w:tcPr>
            <w:tcW w:w="1245" w:type="dxa"/>
            <w:tcBorders>
              <w:tl2br w:val="nil"/>
              <w:tr2bl w:val="nil"/>
            </w:tcBorders>
            <w:noWrap w:val="0"/>
            <w:vAlign w:val="center"/>
          </w:tcPr>
          <w:p w14:paraId="3315922D">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9</w:t>
            </w:r>
          </w:p>
        </w:tc>
        <w:tc>
          <w:tcPr>
            <w:tcW w:w="2238" w:type="dxa"/>
            <w:vMerge w:val="continue"/>
            <w:tcBorders>
              <w:tl2br w:val="nil"/>
              <w:tr2bl w:val="nil"/>
            </w:tcBorders>
            <w:noWrap w:val="0"/>
            <w:vAlign w:val="center"/>
          </w:tcPr>
          <w:p w14:paraId="1EFE8F14">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2"/>
                <w:szCs w:val="22"/>
                <w:u w:val="none"/>
              </w:rPr>
            </w:pPr>
          </w:p>
        </w:tc>
        <w:tc>
          <w:tcPr>
            <w:tcW w:w="1320" w:type="dxa"/>
            <w:tcBorders>
              <w:tl2br w:val="nil"/>
              <w:tr2bl w:val="nil"/>
            </w:tcBorders>
            <w:noWrap w:val="0"/>
            <w:vAlign w:val="center"/>
          </w:tcPr>
          <w:p w14:paraId="12CC8355">
            <w:pPr>
              <w:keepNext w:val="0"/>
              <w:keepLines w:val="0"/>
              <w:widowControl/>
              <w:suppressLineNumbers w:val="0"/>
              <w:jc w:val="left"/>
              <w:textAlignment w:val="center"/>
              <w:rPr>
                <w:rFonts w:hint="default" w:ascii="Times New Roman" w:hAnsi="Times New Roman" w:eastAsia="方正仿宋简体" w:cs="Times New Roman"/>
                <w:i w:val="0"/>
                <w:iCs w:val="0"/>
                <w:color w:val="000000"/>
                <w:sz w:val="22"/>
                <w:szCs w:val="22"/>
                <w:u w:val="none"/>
              </w:rPr>
            </w:pPr>
            <w:r>
              <w:rPr>
                <w:rFonts w:hint="eastAsia" w:eastAsia="方正仿宋简体" w:cs="Times New Roman"/>
                <w:i w:val="0"/>
                <w:iCs w:val="0"/>
                <w:color w:val="000000"/>
                <w:kern w:val="0"/>
                <w:sz w:val="22"/>
                <w:szCs w:val="22"/>
                <w:u w:val="none"/>
                <w:lang w:val="en-US" w:eastAsia="zh-CN" w:bidi="ar"/>
              </w:rPr>
              <w:t>3</w:t>
            </w:r>
            <w:r>
              <w:rPr>
                <w:rFonts w:hint="default" w:ascii="Times New Roman" w:hAnsi="Times New Roman" w:eastAsia="方正仿宋简体" w:cs="Times New Roman"/>
                <w:i w:val="0"/>
                <w:iCs w:val="0"/>
                <w:color w:val="000000"/>
                <w:kern w:val="0"/>
                <w:sz w:val="22"/>
                <w:szCs w:val="22"/>
                <w:u w:val="none"/>
                <w:lang w:val="en-US" w:eastAsia="zh-CN" w:bidi="ar"/>
              </w:rPr>
              <w:t>.规范</w:t>
            </w:r>
            <w:r>
              <w:rPr>
                <w:rStyle w:val="8"/>
                <w:rFonts w:hint="default" w:ascii="Times New Roman" w:hAnsi="Times New Roman" w:eastAsia="方正仿宋简体" w:cs="Times New Roman"/>
                <w:sz w:val="22"/>
                <w:szCs w:val="22"/>
                <w:lang w:val="en-US" w:eastAsia="zh-CN" w:bidi="ar"/>
              </w:rPr>
              <w:t>村规民约</w:t>
            </w:r>
          </w:p>
        </w:tc>
        <w:tc>
          <w:tcPr>
            <w:tcW w:w="6427" w:type="dxa"/>
            <w:tcBorders>
              <w:tl2br w:val="nil"/>
              <w:tr2bl w:val="nil"/>
            </w:tcBorders>
            <w:noWrap w:val="0"/>
            <w:vAlign w:val="center"/>
          </w:tcPr>
          <w:p w14:paraId="10D52AEA">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一是</w:t>
            </w:r>
            <w:r>
              <w:rPr>
                <w:rStyle w:val="8"/>
                <w:b w:val="0"/>
                <w:bCs w:val="0"/>
                <w:sz w:val="22"/>
                <w:szCs w:val="22"/>
                <w:lang w:val="en-US" w:eastAsia="zh-CN" w:bidi="ar"/>
              </w:rPr>
              <w:t>组织召开村民代表大会，组织修订了村规民约，更正了错误表述。</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二是</w:t>
            </w:r>
            <w:r>
              <w:rPr>
                <w:rStyle w:val="8"/>
                <w:b w:val="0"/>
                <w:bCs w:val="0"/>
                <w:sz w:val="22"/>
                <w:szCs w:val="22"/>
                <w:lang w:val="en-US" w:eastAsia="zh-CN" w:bidi="ar"/>
              </w:rPr>
              <w:t>删除过时的条款，并补充文明殡葬等相关内容。</w:t>
            </w:r>
          </w:p>
        </w:tc>
        <w:tc>
          <w:tcPr>
            <w:tcW w:w="1530" w:type="dxa"/>
            <w:tcBorders>
              <w:tl2br w:val="nil"/>
              <w:tr2bl w:val="nil"/>
            </w:tcBorders>
            <w:noWrap w:val="0"/>
            <w:vAlign w:val="center"/>
          </w:tcPr>
          <w:p w14:paraId="7557198D">
            <w:pPr>
              <w:rPr>
                <w:rFonts w:hint="default" w:ascii="Times New Roman" w:hAnsi="Times New Roman" w:eastAsia="宋体" w:cs="Times New Roman"/>
                <w:i w:val="0"/>
                <w:iCs w:val="0"/>
                <w:color w:val="000000"/>
                <w:sz w:val="24"/>
                <w:szCs w:val="24"/>
                <w:u w:val="none"/>
              </w:rPr>
            </w:pPr>
          </w:p>
        </w:tc>
      </w:tr>
      <w:tr w14:paraId="7CA7F8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1" w:hRule="atLeast"/>
          <w:jc w:val="center"/>
        </w:trPr>
        <w:tc>
          <w:tcPr>
            <w:tcW w:w="1245" w:type="dxa"/>
            <w:tcBorders>
              <w:tl2br w:val="nil"/>
              <w:tr2bl w:val="nil"/>
            </w:tcBorders>
            <w:noWrap w:val="0"/>
            <w:vAlign w:val="center"/>
          </w:tcPr>
          <w:p w14:paraId="4BB69397">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10</w:t>
            </w:r>
          </w:p>
        </w:tc>
        <w:tc>
          <w:tcPr>
            <w:tcW w:w="2238" w:type="dxa"/>
            <w:vMerge w:val="continue"/>
            <w:tcBorders>
              <w:tl2br w:val="nil"/>
              <w:tr2bl w:val="nil"/>
            </w:tcBorders>
            <w:noWrap w:val="0"/>
            <w:vAlign w:val="center"/>
          </w:tcPr>
          <w:p w14:paraId="382A6848">
            <w:pPr>
              <w:jc w:val="center"/>
              <w:rPr>
                <w:rFonts w:hint="default" w:ascii="Times New Roman" w:hAnsi="Times New Roman" w:eastAsia="方正仿宋简体" w:cs="Times New Roman"/>
                <w:i w:val="0"/>
                <w:iCs w:val="0"/>
                <w:color w:val="000000"/>
                <w:sz w:val="22"/>
                <w:szCs w:val="22"/>
                <w:u w:val="none"/>
              </w:rPr>
            </w:pPr>
          </w:p>
        </w:tc>
        <w:tc>
          <w:tcPr>
            <w:tcW w:w="1320" w:type="dxa"/>
            <w:tcBorders>
              <w:tl2br w:val="nil"/>
              <w:tr2bl w:val="nil"/>
            </w:tcBorders>
            <w:noWrap w:val="0"/>
            <w:vAlign w:val="center"/>
          </w:tcPr>
          <w:p w14:paraId="4FD19C26">
            <w:pPr>
              <w:keepNext w:val="0"/>
              <w:keepLines w:val="0"/>
              <w:widowControl/>
              <w:suppressLineNumbers w:val="0"/>
              <w:jc w:val="left"/>
              <w:textAlignment w:val="center"/>
              <w:rPr>
                <w:rFonts w:hint="default" w:ascii="Times New Roman" w:hAnsi="Times New Roman" w:eastAsia="方正仿宋简体" w:cs="Times New Roman"/>
                <w:i w:val="0"/>
                <w:iCs w:val="0"/>
                <w:color w:val="000000"/>
                <w:sz w:val="22"/>
                <w:szCs w:val="22"/>
                <w:u w:val="none"/>
              </w:rPr>
            </w:pPr>
            <w:r>
              <w:rPr>
                <w:rFonts w:hint="eastAsia" w:eastAsia="方正仿宋简体" w:cs="Times New Roman"/>
                <w:i w:val="0"/>
                <w:iCs w:val="0"/>
                <w:color w:val="000000"/>
                <w:kern w:val="0"/>
                <w:sz w:val="22"/>
                <w:szCs w:val="22"/>
                <w:u w:val="none"/>
                <w:lang w:val="en-US" w:eastAsia="zh-CN" w:bidi="ar"/>
              </w:rPr>
              <w:t>4</w:t>
            </w:r>
            <w:r>
              <w:rPr>
                <w:rFonts w:hint="default" w:ascii="Times New Roman" w:hAnsi="Times New Roman" w:eastAsia="方正仿宋简体" w:cs="Times New Roman"/>
                <w:i w:val="0"/>
                <w:iCs w:val="0"/>
                <w:color w:val="000000"/>
                <w:kern w:val="0"/>
                <w:sz w:val="22"/>
                <w:szCs w:val="22"/>
                <w:u w:val="none"/>
                <w:lang w:val="en-US" w:eastAsia="zh-CN" w:bidi="ar"/>
              </w:rPr>
              <w:t>.持续整治</w:t>
            </w:r>
            <w:r>
              <w:rPr>
                <w:rStyle w:val="8"/>
                <w:rFonts w:hint="default" w:ascii="Times New Roman" w:hAnsi="Times New Roman" w:eastAsia="方正仿宋简体" w:cs="Times New Roman"/>
                <w:spacing w:val="11"/>
                <w:sz w:val="22"/>
                <w:szCs w:val="22"/>
                <w:lang w:val="en-US" w:eastAsia="zh-CN" w:bidi="ar"/>
              </w:rPr>
              <w:t>养殖小区闲置</w:t>
            </w:r>
          </w:p>
        </w:tc>
        <w:tc>
          <w:tcPr>
            <w:tcW w:w="6427" w:type="dxa"/>
            <w:tcBorders>
              <w:tl2br w:val="nil"/>
              <w:tr2bl w:val="nil"/>
            </w:tcBorders>
            <w:noWrap w:val="0"/>
            <w:vAlign w:val="center"/>
          </w:tcPr>
          <w:p w14:paraId="75A7778A">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一是做好群众思想工作，入户动员农户进行养殖，结合农户实际情况督促农户进行猪、羊、禽类等养殖，最大化进行使用。二是进行招商引资，出租养殖小区，并选择有一定经济实力愿意投资的企业、个人进行规模养殖，并收取资产出租费用。</w:t>
            </w:r>
          </w:p>
        </w:tc>
        <w:tc>
          <w:tcPr>
            <w:tcW w:w="1530" w:type="dxa"/>
            <w:tcBorders>
              <w:tl2br w:val="nil"/>
              <w:tr2bl w:val="nil"/>
            </w:tcBorders>
            <w:noWrap w:val="0"/>
            <w:vAlign w:val="center"/>
          </w:tcPr>
          <w:p w14:paraId="60301AFF">
            <w:pPr>
              <w:rPr>
                <w:rFonts w:hint="default" w:ascii="Times New Roman" w:hAnsi="Times New Roman" w:eastAsia="宋体" w:cs="Times New Roman"/>
                <w:i w:val="0"/>
                <w:iCs w:val="0"/>
                <w:color w:val="000000"/>
                <w:sz w:val="24"/>
                <w:szCs w:val="24"/>
                <w:u w:val="none"/>
              </w:rPr>
            </w:pPr>
          </w:p>
        </w:tc>
      </w:tr>
      <w:tr w14:paraId="34B6D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84" w:hRule="atLeast"/>
          <w:jc w:val="center"/>
        </w:trPr>
        <w:tc>
          <w:tcPr>
            <w:tcW w:w="1245" w:type="dxa"/>
            <w:tcBorders>
              <w:tl2br w:val="nil"/>
              <w:tr2bl w:val="nil"/>
            </w:tcBorders>
            <w:noWrap w:val="0"/>
            <w:vAlign w:val="center"/>
          </w:tcPr>
          <w:p w14:paraId="47114ED3">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11</w:t>
            </w:r>
          </w:p>
        </w:tc>
        <w:tc>
          <w:tcPr>
            <w:tcW w:w="2238" w:type="dxa"/>
            <w:tcBorders>
              <w:tl2br w:val="nil"/>
              <w:tr2bl w:val="nil"/>
            </w:tcBorders>
            <w:noWrap w:val="0"/>
            <w:vAlign w:val="center"/>
          </w:tcPr>
          <w:p w14:paraId="31564466">
            <w:pPr>
              <w:keepNext w:val="0"/>
              <w:keepLines w:val="0"/>
              <w:widowControl/>
              <w:suppressLineNumbers w:val="0"/>
              <w:jc w:val="both"/>
              <w:textAlignment w:val="center"/>
              <w:rPr>
                <w:rFonts w:hint="default" w:ascii="Times New Roman" w:hAnsi="Times New Roman" w:eastAsia="方正仿宋简体" w:cs="Times New Roman"/>
                <w:i w:val="0"/>
                <w:iCs w:val="0"/>
                <w:color w:val="000000"/>
                <w:sz w:val="22"/>
                <w:szCs w:val="22"/>
                <w:u w:val="none"/>
              </w:rPr>
            </w:pPr>
            <w:r>
              <w:rPr>
                <w:rStyle w:val="8"/>
                <w:rFonts w:hint="eastAsia" w:eastAsia="方正仿宋简体" w:cs="Times New Roman"/>
                <w:sz w:val="22"/>
                <w:szCs w:val="22"/>
                <w:lang w:val="en-US" w:eastAsia="zh-CN" w:bidi="ar"/>
              </w:rPr>
              <w:t>三</w:t>
            </w:r>
            <w:r>
              <w:rPr>
                <w:rStyle w:val="8"/>
                <w:rFonts w:hint="default" w:ascii="Times New Roman" w:hAnsi="Times New Roman" w:eastAsia="方正仿宋简体" w:cs="Times New Roman"/>
                <w:sz w:val="22"/>
                <w:szCs w:val="22"/>
                <w:lang w:val="en-US" w:eastAsia="zh-CN" w:bidi="ar"/>
              </w:rPr>
              <w:t>、关于检查防范化解重大风险，维护社会大局和谐稳定</w:t>
            </w:r>
            <w:r>
              <w:rPr>
                <w:rFonts w:hint="default" w:ascii="Times New Roman" w:hAnsi="Times New Roman" w:eastAsia="方正仿宋简体" w:cs="Times New Roman"/>
                <w:i w:val="0"/>
                <w:iCs w:val="0"/>
                <w:color w:val="000000"/>
                <w:kern w:val="0"/>
                <w:sz w:val="22"/>
                <w:szCs w:val="22"/>
                <w:u w:val="none"/>
                <w:lang w:val="en-US" w:eastAsia="zh-CN" w:bidi="ar"/>
              </w:rPr>
              <w:t>方面的整改进展情况</w:t>
            </w:r>
          </w:p>
        </w:tc>
        <w:tc>
          <w:tcPr>
            <w:tcW w:w="1320" w:type="dxa"/>
            <w:tcBorders>
              <w:tl2br w:val="nil"/>
              <w:tr2bl w:val="nil"/>
            </w:tcBorders>
            <w:noWrap w:val="0"/>
            <w:vAlign w:val="center"/>
          </w:tcPr>
          <w:p w14:paraId="3EFC5EF3">
            <w:pPr>
              <w:keepNext w:val="0"/>
              <w:keepLines w:val="0"/>
              <w:widowControl/>
              <w:suppressLineNumbers w:val="0"/>
              <w:jc w:val="left"/>
              <w:textAlignment w:val="center"/>
              <w:rPr>
                <w:rFonts w:hint="default" w:ascii="Times New Roman" w:hAnsi="Times New Roman" w:eastAsia="方正仿宋简体" w:cs="Times New Roman"/>
                <w:i w:val="0"/>
                <w:iCs w:val="0"/>
                <w:color w:val="000000"/>
                <w:sz w:val="22"/>
                <w:szCs w:val="22"/>
                <w:u w:val="none"/>
              </w:rPr>
            </w:pPr>
            <w:r>
              <w:rPr>
                <w:rStyle w:val="8"/>
                <w:rFonts w:hint="default" w:ascii="Times New Roman" w:hAnsi="Times New Roman" w:eastAsia="方正仿宋简体" w:cs="Times New Roman"/>
                <w:sz w:val="22"/>
                <w:szCs w:val="22"/>
                <w:lang w:val="en-US" w:eastAsia="zh-CN" w:bidi="ar"/>
              </w:rPr>
              <w:t>常态化推进扫黑除恶斗争工作</w:t>
            </w:r>
          </w:p>
        </w:tc>
        <w:tc>
          <w:tcPr>
            <w:tcW w:w="6427" w:type="dxa"/>
            <w:tcBorders>
              <w:tl2br w:val="nil"/>
              <w:tr2bl w:val="nil"/>
            </w:tcBorders>
            <w:noWrap w:val="0"/>
            <w:vAlign w:val="center"/>
          </w:tcPr>
          <w:p w14:paraId="496DCF0D">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一是</w:t>
            </w:r>
            <w:r>
              <w:rPr>
                <w:rStyle w:val="8"/>
                <w:b w:val="0"/>
                <w:bCs w:val="0"/>
                <w:sz w:val="22"/>
                <w:szCs w:val="22"/>
                <w:lang w:val="en-US" w:eastAsia="zh-CN" w:bidi="ar"/>
              </w:rPr>
              <w:t>重新悬挂举报箱并配备钥匙。</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二是</w:t>
            </w:r>
            <w:r>
              <w:rPr>
                <w:rStyle w:val="8"/>
                <w:b w:val="0"/>
                <w:bCs w:val="0"/>
                <w:sz w:val="22"/>
                <w:szCs w:val="22"/>
                <w:lang w:val="en-US" w:eastAsia="zh-CN" w:bidi="ar"/>
              </w:rPr>
              <w:t>制定了举报箱管理制度，明确由村武干担任举报箱管理员。</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三是</w:t>
            </w:r>
            <w:r>
              <w:rPr>
                <w:rStyle w:val="8"/>
                <w:b w:val="0"/>
                <w:bCs w:val="0"/>
                <w:sz w:val="22"/>
                <w:szCs w:val="22"/>
                <w:lang w:val="en-US" w:eastAsia="zh-CN" w:bidi="ar"/>
              </w:rPr>
              <w:t>将扫黑除恶工作与命案防控、矛盾纠纷排查化解结合，管理员定期开箱查看举报信件，及时上报相关情况。</w:t>
            </w:r>
          </w:p>
        </w:tc>
        <w:tc>
          <w:tcPr>
            <w:tcW w:w="1530" w:type="dxa"/>
            <w:tcBorders>
              <w:tl2br w:val="nil"/>
              <w:tr2bl w:val="nil"/>
            </w:tcBorders>
            <w:noWrap w:val="0"/>
            <w:vAlign w:val="center"/>
          </w:tcPr>
          <w:p w14:paraId="7980FBBC">
            <w:pPr>
              <w:rPr>
                <w:rFonts w:hint="default" w:ascii="Times New Roman" w:hAnsi="Times New Roman" w:eastAsia="宋体" w:cs="Times New Roman"/>
                <w:i w:val="0"/>
                <w:iCs w:val="0"/>
                <w:color w:val="000000"/>
                <w:sz w:val="24"/>
                <w:szCs w:val="24"/>
                <w:u w:val="none"/>
              </w:rPr>
            </w:pPr>
          </w:p>
        </w:tc>
      </w:tr>
      <w:tr w14:paraId="145BD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50" w:hRule="atLeast"/>
          <w:jc w:val="center"/>
        </w:trPr>
        <w:tc>
          <w:tcPr>
            <w:tcW w:w="1245" w:type="dxa"/>
            <w:tcBorders>
              <w:tl2br w:val="nil"/>
              <w:tr2bl w:val="nil"/>
            </w:tcBorders>
            <w:noWrap w:val="0"/>
            <w:vAlign w:val="center"/>
          </w:tcPr>
          <w:p w14:paraId="70CDACAA">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12</w:t>
            </w:r>
          </w:p>
        </w:tc>
        <w:tc>
          <w:tcPr>
            <w:tcW w:w="2238" w:type="dxa"/>
            <w:tcBorders>
              <w:tl2br w:val="nil"/>
              <w:tr2bl w:val="nil"/>
            </w:tcBorders>
            <w:noWrap w:val="0"/>
            <w:vAlign w:val="center"/>
          </w:tcPr>
          <w:p w14:paraId="1CD6FD70">
            <w:pPr>
              <w:keepNext w:val="0"/>
              <w:keepLines w:val="0"/>
              <w:widowControl/>
              <w:suppressLineNumbers w:val="0"/>
              <w:jc w:val="left"/>
              <w:textAlignment w:val="center"/>
              <w:rPr>
                <w:rFonts w:hint="default" w:ascii="Times New Roman" w:hAnsi="Times New Roman" w:eastAsia="方正仿宋简体" w:cs="Times New Roman"/>
                <w:i w:val="0"/>
                <w:iCs w:val="0"/>
                <w:color w:val="000000"/>
                <w:sz w:val="22"/>
                <w:szCs w:val="22"/>
                <w:u w:val="none"/>
              </w:rPr>
            </w:pPr>
            <w:r>
              <w:rPr>
                <w:rStyle w:val="8"/>
                <w:rFonts w:hint="eastAsia" w:eastAsia="方正仿宋简体" w:cs="Times New Roman"/>
                <w:sz w:val="22"/>
                <w:szCs w:val="22"/>
                <w:lang w:val="en-US" w:eastAsia="zh-CN" w:bidi="ar"/>
              </w:rPr>
              <w:t>四</w:t>
            </w:r>
            <w:r>
              <w:rPr>
                <w:rStyle w:val="8"/>
                <w:rFonts w:hint="default" w:ascii="Times New Roman" w:hAnsi="Times New Roman" w:eastAsia="方正仿宋简体" w:cs="Times New Roman"/>
                <w:sz w:val="22"/>
                <w:szCs w:val="22"/>
                <w:lang w:val="en-US" w:eastAsia="zh-CN" w:bidi="ar"/>
              </w:rPr>
              <w:t>、关于检查加强廉洁风险防控，落实中央八项规定精神</w:t>
            </w:r>
            <w:r>
              <w:rPr>
                <w:rFonts w:hint="default" w:ascii="Times New Roman" w:hAnsi="Times New Roman" w:eastAsia="方正仿宋简体" w:cs="Times New Roman"/>
                <w:i w:val="0"/>
                <w:iCs w:val="0"/>
                <w:color w:val="000000"/>
                <w:kern w:val="0"/>
                <w:sz w:val="22"/>
                <w:szCs w:val="22"/>
                <w:u w:val="none"/>
                <w:lang w:val="en-US" w:eastAsia="zh-CN" w:bidi="ar"/>
              </w:rPr>
              <w:t>方面的整改进展情况</w:t>
            </w:r>
          </w:p>
        </w:tc>
        <w:tc>
          <w:tcPr>
            <w:tcW w:w="1320" w:type="dxa"/>
            <w:tcBorders>
              <w:tl2br w:val="nil"/>
              <w:tr2bl w:val="nil"/>
            </w:tcBorders>
            <w:noWrap w:val="0"/>
            <w:vAlign w:val="center"/>
          </w:tcPr>
          <w:p w14:paraId="7978E5D3">
            <w:pPr>
              <w:keepNext w:val="0"/>
              <w:keepLines w:val="0"/>
              <w:widowControl/>
              <w:suppressLineNumbers w:val="0"/>
              <w:jc w:val="left"/>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强化管理</w:t>
            </w:r>
            <w:r>
              <w:rPr>
                <w:rStyle w:val="8"/>
                <w:rFonts w:hint="default" w:ascii="Times New Roman" w:hAnsi="Times New Roman" w:eastAsia="方正仿宋简体" w:cs="Times New Roman"/>
                <w:sz w:val="22"/>
                <w:szCs w:val="22"/>
                <w:lang w:val="en-US" w:eastAsia="zh-CN" w:bidi="ar"/>
              </w:rPr>
              <w:t>小组资金坐收坐支</w:t>
            </w:r>
          </w:p>
        </w:tc>
        <w:tc>
          <w:tcPr>
            <w:tcW w:w="6427" w:type="dxa"/>
            <w:tcBorders>
              <w:tl2br w:val="nil"/>
              <w:tr2bl w:val="nil"/>
            </w:tcBorders>
            <w:noWrap w:val="0"/>
            <w:vAlign w:val="center"/>
          </w:tcPr>
          <w:p w14:paraId="604C6447">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一是</w:t>
            </w:r>
            <w:r>
              <w:rPr>
                <w:rStyle w:val="8"/>
                <w:b w:val="0"/>
                <w:bCs w:val="0"/>
                <w:sz w:val="22"/>
                <w:szCs w:val="22"/>
                <w:lang w:val="en-US" w:eastAsia="zh-CN" w:bidi="ar"/>
              </w:rPr>
              <w:t>已督促相关小组追回坐收坐支资金，目前资金已全部存入乡会计委托中心。</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二是</w:t>
            </w:r>
            <w:r>
              <w:rPr>
                <w:rStyle w:val="8"/>
                <w:b w:val="0"/>
                <w:bCs w:val="0"/>
                <w:sz w:val="22"/>
                <w:szCs w:val="22"/>
                <w:lang w:val="en-US" w:eastAsia="zh-CN" w:bidi="ar"/>
              </w:rPr>
              <w:t>组织小组干部进行了财务培训，明确水费收缴、支出需严格遵循财务制度，确保程序规范、材料齐全。</w:t>
            </w:r>
          </w:p>
        </w:tc>
        <w:tc>
          <w:tcPr>
            <w:tcW w:w="1530" w:type="dxa"/>
            <w:tcBorders>
              <w:tl2br w:val="nil"/>
              <w:tr2bl w:val="nil"/>
            </w:tcBorders>
            <w:noWrap w:val="0"/>
            <w:vAlign w:val="center"/>
          </w:tcPr>
          <w:p w14:paraId="513061B0">
            <w:pPr>
              <w:rPr>
                <w:rFonts w:hint="default" w:ascii="Times New Roman" w:hAnsi="Times New Roman" w:eastAsia="宋体" w:cs="Times New Roman"/>
                <w:i w:val="0"/>
                <w:iCs w:val="0"/>
                <w:color w:val="000000"/>
                <w:sz w:val="24"/>
                <w:szCs w:val="24"/>
                <w:u w:val="none"/>
              </w:rPr>
            </w:pPr>
          </w:p>
        </w:tc>
      </w:tr>
      <w:tr w14:paraId="06DBCE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18" w:hRule="atLeast"/>
          <w:jc w:val="center"/>
        </w:trPr>
        <w:tc>
          <w:tcPr>
            <w:tcW w:w="1245" w:type="dxa"/>
            <w:tcBorders>
              <w:tl2br w:val="nil"/>
              <w:tr2bl w:val="nil"/>
            </w:tcBorders>
            <w:noWrap w:val="0"/>
            <w:vAlign w:val="center"/>
          </w:tcPr>
          <w:p w14:paraId="56A0869E">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13</w:t>
            </w:r>
          </w:p>
        </w:tc>
        <w:tc>
          <w:tcPr>
            <w:tcW w:w="2238" w:type="dxa"/>
            <w:vMerge w:val="restart"/>
            <w:tcBorders>
              <w:tl2br w:val="nil"/>
              <w:tr2bl w:val="nil"/>
            </w:tcBorders>
            <w:noWrap w:val="0"/>
            <w:vAlign w:val="center"/>
          </w:tcPr>
          <w:p w14:paraId="1AE66795">
            <w:pPr>
              <w:keepNext w:val="0"/>
              <w:keepLines w:val="0"/>
              <w:widowControl/>
              <w:suppressLineNumbers w:val="0"/>
              <w:jc w:val="left"/>
              <w:textAlignment w:val="center"/>
              <w:rPr>
                <w:rFonts w:hint="default" w:ascii="Times New Roman" w:hAnsi="Times New Roman" w:eastAsia="方正仿宋简体" w:cs="Times New Roman"/>
                <w:i w:val="0"/>
                <w:iCs w:val="0"/>
                <w:color w:val="000000"/>
                <w:sz w:val="22"/>
                <w:szCs w:val="22"/>
                <w:u w:val="none"/>
              </w:rPr>
            </w:pPr>
            <w:r>
              <w:rPr>
                <w:rStyle w:val="8"/>
                <w:rFonts w:hint="eastAsia" w:eastAsia="方正仿宋简体" w:cs="Times New Roman"/>
                <w:sz w:val="22"/>
                <w:szCs w:val="22"/>
                <w:lang w:val="en-US" w:eastAsia="zh-CN" w:bidi="ar"/>
              </w:rPr>
              <w:t>五</w:t>
            </w:r>
            <w:r>
              <w:rPr>
                <w:rStyle w:val="8"/>
                <w:rFonts w:hint="default" w:ascii="Times New Roman" w:hAnsi="Times New Roman" w:eastAsia="方正仿宋简体" w:cs="Times New Roman"/>
                <w:sz w:val="22"/>
                <w:szCs w:val="22"/>
                <w:lang w:val="en-US" w:eastAsia="zh-CN" w:bidi="ar"/>
              </w:rPr>
              <w:t>、关于检查基层党组织领导班子和干部队伍建设</w:t>
            </w:r>
            <w:r>
              <w:rPr>
                <w:rFonts w:hint="default" w:ascii="Times New Roman" w:hAnsi="Times New Roman" w:eastAsia="方正仿宋简体" w:cs="Times New Roman"/>
                <w:i w:val="0"/>
                <w:iCs w:val="0"/>
                <w:color w:val="000000"/>
                <w:kern w:val="0"/>
                <w:sz w:val="22"/>
                <w:szCs w:val="22"/>
                <w:u w:val="none"/>
                <w:lang w:val="en-US" w:eastAsia="zh-CN" w:bidi="ar"/>
              </w:rPr>
              <w:t>方面的整改进展情况</w:t>
            </w:r>
          </w:p>
        </w:tc>
        <w:tc>
          <w:tcPr>
            <w:tcW w:w="1320" w:type="dxa"/>
            <w:vMerge w:val="restart"/>
            <w:tcBorders>
              <w:tl2br w:val="nil"/>
              <w:tr2bl w:val="nil"/>
            </w:tcBorders>
            <w:noWrap w:val="0"/>
            <w:vAlign w:val="center"/>
          </w:tcPr>
          <w:p w14:paraId="794AA2CB">
            <w:pPr>
              <w:keepNext w:val="0"/>
              <w:keepLines w:val="0"/>
              <w:widowControl/>
              <w:suppressLineNumbers w:val="0"/>
              <w:jc w:val="left"/>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1.严格执行</w:t>
            </w:r>
            <w:r>
              <w:rPr>
                <w:rStyle w:val="8"/>
                <w:rFonts w:hint="default" w:ascii="Times New Roman" w:hAnsi="Times New Roman" w:eastAsia="方正仿宋简体" w:cs="Times New Roman"/>
                <w:sz w:val="22"/>
                <w:szCs w:val="22"/>
                <w:lang w:val="en-US" w:eastAsia="zh-CN" w:bidi="ar"/>
              </w:rPr>
              <w:t>财务制度</w:t>
            </w:r>
          </w:p>
        </w:tc>
        <w:tc>
          <w:tcPr>
            <w:tcW w:w="6427" w:type="dxa"/>
            <w:tcBorders>
              <w:tl2br w:val="nil"/>
              <w:tr2bl w:val="nil"/>
            </w:tcBorders>
            <w:noWrap w:val="0"/>
            <w:vAlign w:val="center"/>
          </w:tcPr>
          <w:p w14:paraId="611D978D">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sz w:val="22"/>
                <w:szCs w:val="22"/>
                <w:u w:val="none"/>
              </w:rPr>
            </w:pPr>
            <w:r>
              <w:rPr>
                <w:rStyle w:val="8"/>
                <w:b w:val="0"/>
                <w:bCs w:val="0"/>
                <w:sz w:val="22"/>
                <w:szCs w:val="22"/>
                <w:highlight w:val="none"/>
                <w:lang w:val="en-US" w:eastAsia="zh-CN" w:bidi="ar"/>
              </w:rPr>
              <w:t>对涉及的报销材料进行了核实，</w:t>
            </w:r>
            <w:r>
              <w:rPr>
                <w:rFonts w:hint="eastAsia" w:ascii="方正仿宋简体" w:hAnsi="方正仿宋简体" w:eastAsia="方正仿宋简体" w:cs="方正仿宋简体"/>
                <w:b w:val="0"/>
                <w:bCs w:val="0"/>
                <w:i w:val="0"/>
                <w:iCs w:val="0"/>
                <w:color w:val="000000"/>
                <w:kern w:val="0"/>
                <w:sz w:val="22"/>
                <w:szCs w:val="22"/>
                <w:highlight w:val="none"/>
                <w:u w:val="none"/>
                <w:lang w:val="en-US" w:eastAsia="zh-CN" w:bidi="ar"/>
              </w:rPr>
              <w:t>将重复报销金额进行资金追回，存入乡会计委托中心；加大集体资金管理和使用，严格审核小组资金支出，对不符合支出资金不予以审批。</w:t>
            </w:r>
          </w:p>
        </w:tc>
        <w:tc>
          <w:tcPr>
            <w:tcW w:w="1530" w:type="dxa"/>
            <w:tcBorders>
              <w:tl2br w:val="nil"/>
              <w:tr2bl w:val="nil"/>
            </w:tcBorders>
            <w:noWrap w:val="0"/>
            <w:vAlign w:val="center"/>
          </w:tcPr>
          <w:p w14:paraId="046860F1">
            <w:pPr>
              <w:rPr>
                <w:rFonts w:hint="default" w:ascii="Times New Roman" w:hAnsi="Times New Roman" w:eastAsia="宋体" w:cs="Times New Roman"/>
                <w:i w:val="0"/>
                <w:iCs w:val="0"/>
                <w:color w:val="000000"/>
                <w:sz w:val="24"/>
                <w:szCs w:val="24"/>
                <w:u w:val="none"/>
              </w:rPr>
            </w:pPr>
          </w:p>
        </w:tc>
      </w:tr>
      <w:tr w14:paraId="07F1F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6" w:hRule="atLeast"/>
          <w:jc w:val="center"/>
        </w:trPr>
        <w:tc>
          <w:tcPr>
            <w:tcW w:w="1245" w:type="dxa"/>
            <w:tcBorders>
              <w:tl2br w:val="nil"/>
              <w:tr2bl w:val="nil"/>
            </w:tcBorders>
            <w:noWrap w:val="0"/>
            <w:vAlign w:val="center"/>
          </w:tcPr>
          <w:p w14:paraId="5304E3EA">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14</w:t>
            </w:r>
          </w:p>
        </w:tc>
        <w:tc>
          <w:tcPr>
            <w:tcW w:w="2238" w:type="dxa"/>
            <w:vMerge w:val="continue"/>
            <w:tcBorders>
              <w:tl2br w:val="nil"/>
              <w:tr2bl w:val="nil"/>
            </w:tcBorders>
            <w:noWrap w:val="0"/>
            <w:vAlign w:val="center"/>
          </w:tcPr>
          <w:p w14:paraId="093A2518">
            <w:pPr>
              <w:jc w:val="center"/>
              <w:rPr>
                <w:rFonts w:hint="default" w:ascii="Times New Roman" w:hAnsi="Times New Roman" w:eastAsia="方正仿宋简体" w:cs="Times New Roman"/>
                <w:i w:val="0"/>
                <w:iCs w:val="0"/>
                <w:color w:val="000000"/>
                <w:sz w:val="22"/>
                <w:szCs w:val="22"/>
                <w:u w:val="none"/>
              </w:rPr>
            </w:pPr>
          </w:p>
        </w:tc>
        <w:tc>
          <w:tcPr>
            <w:tcW w:w="1320" w:type="dxa"/>
            <w:vMerge w:val="continue"/>
            <w:tcBorders>
              <w:tl2br w:val="nil"/>
              <w:tr2bl w:val="nil"/>
            </w:tcBorders>
            <w:noWrap w:val="0"/>
            <w:vAlign w:val="center"/>
          </w:tcPr>
          <w:p w14:paraId="5C5216A0">
            <w:pPr>
              <w:rPr>
                <w:rFonts w:hint="default" w:ascii="Times New Roman" w:hAnsi="Times New Roman" w:eastAsia="方正仿宋简体" w:cs="Times New Roman"/>
                <w:i w:val="0"/>
                <w:iCs w:val="0"/>
                <w:color w:val="000000"/>
                <w:sz w:val="22"/>
                <w:szCs w:val="22"/>
                <w:u w:val="none"/>
              </w:rPr>
            </w:pPr>
          </w:p>
        </w:tc>
        <w:tc>
          <w:tcPr>
            <w:tcW w:w="6427" w:type="dxa"/>
            <w:tcBorders>
              <w:tl2br w:val="nil"/>
              <w:tr2bl w:val="nil"/>
            </w:tcBorders>
            <w:noWrap w:val="0"/>
            <w:vAlign w:val="center"/>
          </w:tcPr>
          <w:p w14:paraId="75544D16">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sz w:val="22"/>
                <w:szCs w:val="22"/>
                <w:u w:val="none"/>
              </w:rPr>
            </w:pPr>
            <w:r>
              <w:rPr>
                <w:rStyle w:val="8"/>
                <w:b w:val="0"/>
                <w:bCs w:val="0"/>
                <w:sz w:val="22"/>
                <w:szCs w:val="22"/>
                <w:lang w:val="en-US" w:eastAsia="zh-CN" w:bidi="ar"/>
              </w:rPr>
              <w:t>完善签到表及</w:t>
            </w:r>
            <w:r>
              <w:rPr>
                <w:rFonts w:hint="eastAsia" w:cs="Times New Roman"/>
                <w:b w:val="0"/>
                <w:bCs w:val="0"/>
                <w:i w:val="0"/>
                <w:iCs w:val="0"/>
                <w:color w:val="000000"/>
                <w:kern w:val="0"/>
                <w:sz w:val="22"/>
                <w:szCs w:val="22"/>
                <w:u w:val="none"/>
                <w:lang w:val="en-US" w:eastAsia="zh-CN" w:bidi="ar"/>
              </w:rPr>
              <w:t>“</w:t>
            </w:r>
            <w:r>
              <w:rPr>
                <w:rStyle w:val="8"/>
                <w:b w:val="0"/>
                <w:bCs w:val="0"/>
                <w:sz w:val="22"/>
                <w:szCs w:val="22"/>
                <w:lang w:val="en-US" w:eastAsia="zh-CN" w:bidi="ar"/>
              </w:rPr>
              <w:t>一事一议</w:t>
            </w:r>
            <w:r>
              <w:rPr>
                <w:rFonts w:hint="eastAsia" w:cs="Times New Roman"/>
                <w:b w:val="0"/>
                <w:bCs w:val="0"/>
                <w:i w:val="0"/>
                <w:iCs w:val="0"/>
                <w:color w:val="000000"/>
                <w:kern w:val="0"/>
                <w:sz w:val="22"/>
                <w:szCs w:val="22"/>
                <w:u w:val="none"/>
                <w:lang w:val="en-US" w:eastAsia="zh-CN" w:bidi="ar"/>
              </w:rPr>
              <w:t>”</w:t>
            </w:r>
            <w:r>
              <w:rPr>
                <w:rStyle w:val="8"/>
                <w:b w:val="0"/>
                <w:bCs w:val="0"/>
                <w:sz w:val="22"/>
                <w:szCs w:val="22"/>
                <w:lang w:val="en-US" w:eastAsia="zh-CN" w:bidi="ar"/>
              </w:rPr>
              <w:t>会议照片；建立了报销材料</w:t>
            </w:r>
            <w:r>
              <w:rPr>
                <w:rFonts w:hint="eastAsia" w:cs="Times New Roman"/>
                <w:b w:val="0"/>
                <w:bCs w:val="0"/>
                <w:i w:val="0"/>
                <w:iCs w:val="0"/>
                <w:color w:val="000000"/>
                <w:kern w:val="0"/>
                <w:sz w:val="22"/>
                <w:szCs w:val="22"/>
                <w:u w:val="none"/>
                <w:lang w:val="en-US" w:eastAsia="zh-CN" w:bidi="ar"/>
              </w:rPr>
              <w:t>“</w:t>
            </w:r>
            <w:r>
              <w:rPr>
                <w:rStyle w:val="8"/>
                <w:b w:val="0"/>
                <w:bCs w:val="0"/>
                <w:sz w:val="22"/>
                <w:szCs w:val="22"/>
                <w:lang w:val="en-US" w:eastAsia="zh-CN" w:bidi="ar"/>
              </w:rPr>
              <w:t>双人审核</w:t>
            </w:r>
            <w:r>
              <w:rPr>
                <w:rFonts w:hint="eastAsia" w:cs="Times New Roman"/>
                <w:b w:val="0"/>
                <w:bCs w:val="0"/>
                <w:i w:val="0"/>
                <w:iCs w:val="0"/>
                <w:color w:val="000000"/>
                <w:kern w:val="0"/>
                <w:sz w:val="22"/>
                <w:szCs w:val="22"/>
                <w:u w:val="none"/>
                <w:lang w:val="en-US" w:eastAsia="zh-CN" w:bidi="ar"/>
              </w:rPr>
              <w:t>”</w:t>
            </w:r>
            <w:r>
              <w:rPr>
                <w:rStyle w:val="8"/>
                <w:b w:val="0"/>
                <w:bCs w:val="0"/>
                <w:sz w:val="22"/>
                <w:szCs w:val="22"/>
                <w:lang w:val="en-US" w:eastAsia="zh-CN" w:bidi="ar"/>
              </w:rPr>
              <w:t>机制，确保材料真实、一致。</w:t>
            </w:r>
          </w:p>
        </w:tc>
        <w:tc>
          <w:tcPr>
            <w:tcW w:w="1530" w:type="dxa"/>
            <w:tcBorders>
              <w:tl2br w:val="nil"/>
              <w:tr2bl w:val="nil"/>
            </w:tcBorders>
            <w:noWrap w:val="0"/>
            <w:vAlign w:val="center"/>
          </w:tcPr>
          <w:p w14:paraId="058327A0">
            <w:pPr>
              <w:rPr>
                <w:rFonts w:hint="default" w:ascii="Times New Roman" w:hAnsi="Times New Roman" w:eastAsia="宋体" w:cs="Times New Roman"/>
                <w:i w:val="0"/>
                <w:iCs w:val="0"/>
                <w:color w:val="000000"/>
                <w:sz w:val="24"/>
                <w:szCs w:val="24"/>
                <w:u w:val="none"/>
              </w:rPr>
            </w:pPr>
          </w:p>
        </w:tc>
      </w:tr>
      <w:tr w14:paraId="1CFE52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7" w:hRule="atLeast"/>
          <w:jc w:val="center"/>
        </w:trPr>
        <w:tc>
          <w:tcPr>
            <w:tcW w:w="1245" w:type="dxa"/>
            <w:tcBorders>
              <w:tl2br w:val="nil"/>
              <w:tr2bl w:val="nil"/>
            </w:tcBorders>
            <w:noWrap w:val="0"/>
            <w:vAlign w:val="center"/>
          </w:tcPr>
          <w:p w14:paraId="477D1654">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15</w:t>
            </w:r>
          </w:p>
        </w:tc>
        <w:tc>
          <w:tcPr>
            <w:tcW w:w="2238" w:type="dxa"/>
            <w:vMerge w:val="continue"/>
            <w:tcBorders>
              <w:tl2br w:val="nil"/>
              <w:tr2bl w:val="nil"/>
            </w:tcBorders>
            <w:noWrap w:val="0"/>
            <w:vAlign w:val="center"/>
          </w:tcPr>
          <w:p w14:paraId="0170597F">
            <w:pPr>
              <w:jc w:val="center"/>
              <w:rPr>
                <w:rFonts w:hint="default" w:ascii="Times New Roman" w:hAnsi="Times New Roman" w:eastAsia="方正仿宋简体" w:cs="Times New Roman"/>
                <w:i w:val="0"/>
                <w:iCs w:val="0"/>
                <w:color w:val="000000"/>
                <w:sz w:val="22"/>
                <w:szCs w:val="22"/>
                <w:u w:val="none"/>
              </w:rPr>
            </w:pPr>
          </w:p>
        </w:tc>
        <w:tc>
          <w:tcPr>
            <w:tcW w:w="1320" w:type="dxa"/>
            <w:vMerge w:val="continue"/>
            <w:tcBorders>
              <w:tl2br w:val="nil"/>
              <w:tr2bl w:val="nil"/>
            </w:tcBorders>
            <w:noWrap w:val="0"/>
            <w:vAlign w:val="center"/>
          </w:tcPr>
          <w:p w14:paraId="2FC3325F">
            <w:pPr>
              <w:rPr>
                <w:rFonts w:hint="default" w:ascii="Times New Roman" w:hAnsi="Times New Roman" w:eastAsia="方正仿宋简体" w:cs="Times New Roman"/>
                <w:i w:val="0"/>
                <w:iCs w:val="0"/>
                <w:color w:val="000000"/>
                <w:sz w:val="22"/>
                <w:szCs w:val="22"/>
                <w:u w:val="none"/>
              </w:rPr>
            </w:pPr>
          </w:p>
        </w:tc>
        <w:tc>
          <w:tcPr>
            <w:tcW w:w="6427" w:type="dxa"/>
            <w:tcBorders>
              <w:tl2br w:val="nil"/>
              <w:tr2bl w:val="nil"/>
            </w:tcBorders>
            <w:noWrap w:val="0"/>
            <w:vAlign w:val="center"/>
          </w:tcPr>
          <w:p w14:paraId="01CA20A4">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sz w:val="22"/>
                <w:szCs w:val="22"/>
                <w:u w:val="none"/>
              </w:rPr>
            </w:pPr>
            <w:r>
              <w:rPr>
                <w:rStyle w:val="8"/>
                <w:b w:val="0"/>
                <w:bCs w:val="0"/>
                <w:sz w:val="22"/>
                <w:szCs w:val="22"/>
                <w:lang w:val="en-US" w:eastAsia="zh-CN" w:bidi="ar"/>
              </w:rPr>
              <w:t>补齐相关</w:t>
            </w:r>
            <w:r>
              <w:rPr>
                <w:rFonts w:hint="eastAsia" w:cs="Times New Roman"/>
                <w:b w:val="0"/>
                <w:bCs w:val="0"/>
                <w:i w:val="0"/>
                <w:iCs w:val="0"/>
                <w:color w:val="000000"/>
                <w:kern w:val="0"/>
                <w:sz w:val="22"/>
                <w:szCs w:val="22"/>
                <w:u w:val="none"/>
                <w:lang w:val="en-US" w:eastAsia="zh-CN" w:bidi="ar"/>
              </w:rPr>
              <w:t>“</w:t>
            </w:r>
            <w:r>
              <w:rPr>
                <w:rStyle w:val="8"/>
                <w:b w:val="0"/>
                <w:bCs w:val="0"/>
                <w:sz w:val="22"/>
                <w:szCs w:val="22"/>
                <w:lang w:val="en-US" w:eastAsia="zh-CN" w:bidi="ar"/>
              </w:rPr>
              <w:t>一事一议</w:t>
            </w:r>
            <w:r>
              <w:rPr>
                <w:rFonts w:hint="eastAsia" w:cs="Times New Roman"/>
                <w:b w:val="0"/>
                <w:bCs w:val="0"/>
                <w:i w:val="0"/>
                <w:iCs w:val="0"/>
                <w:color w:val="000000"/>
                <w:kern w:val="0"/>
                <w:sz w:val="22"/>
                <w:szCs w:val="22"/>
                <w:u w:val="none"/>
                <w:lang w:val="en-US" w:eastAsia="zh-CN" w:bidi="ar"/>
              </w:rPr>
              <w:t>”</w:t>
            </w:r>
            <w:r>
              <w:rPr>
                <w:rStyle w:val="8"/>
                <w:b w:val="0"/>
                <w:bCs w:val="0"/>
                <w:sz w:val="22"/>
                <w:szCs w:val="22"/>
                <w:lang w:val="en-US" w:eastAsia="zh-CN" w:bidi="ar"/>
              </w:rPr>
              <w:t>材料；已完善涉及村组</w:t>
            </w:r>
            <w:r>
              <w:rPr>
                <w:rFonts w:hint="eastAsia" w:cs="Times New Roman"/>
                <w:b w:val="0"/>
                <w:bCs w:val="0"/>
                <w:i w:val="0"/>
                <w:iCs w:val="0"/>
                <w:color w:val="000000"/>
                <w:kern w:val="0"/>
                <w:sz w:val="22"/>
                <w:szCs w:val="22"/>
                <w:u w:val="none"/>
                <w:lang w:val="en-US" w:eastAsia="zh-CN" w:bidi="ar"/>
              </w:rPr>
              <w:t>“</w:t>
            </w:r>
            <w:r>
              <w:rPr>
                <w:rStyle w:val="8"/>
                <w:b w:val="0"/>
                <w:bCs w:val="0"/>
                <w:sz w:val="22"/>
                <w:szCs w:val="22"/>
                <w:lang w:val="en-US" w:eastAsia="zh-CN" w:bidi="ar"/>
              </w:rPr>
              <w:t>一事一议</w:t>
            </w:r>
            <w:r>
              <w:rPr>
                <w:rFonts w:hint="eastAsia" w:cs="Times New Roman"/>
                <w:b w:val="0"/>
                <w:bCs w:val="0"/>
                <w:i w:val="0"/>
                <w:iCs w:val="0"/>
                <w:color w:val="000000"/>
                <w:kern w:val="0"/>
                <w:sz w:val="22"/>
                <w:szCs w:val="22"/>
                <w:u w:val="none"/>
                <w:lang w:val="en-US" w:eastAsia="zh-CN" w:bidi="ar"/>
              </w:rPr>
              <w:t>”</w:t>
            </w:r>
            <w:r>
              <w:rPr>
                <w:rStyle w:val="8"/>
                <w:b w:val="0"/>
                <w:bCs w:val="0"/>
                <w:sz w:val="22"/>
                <w:szCs w:val="22"/>
                <w:lang w:val="en-US" w:eastAsia="zh-CN" w:bidi="ar"/>
              </w:rPr>
              <w:t>会议记录、签到表、餐费发票等材料。</w:t>
            </w:r>
          </w:p>
        </w:tc>
        <w:tc>
          <w:tcPr>
            <w:tcW w:w="1530" w:type="dxa"/>
            <w:tcBorders>
              <w:tl2br w:val="nil"/>
              <w:tr2bl w:val="nil"/>
            </w:tcBorders>
            <w:noWrap w:val="0"/>
            <w:vAlign w:val="center"/>
          </w:tcPr>
          <w:p w14:paraId="6E077F59">
            <w:pPr>
              <w:rPr>
                <w:rFonts w:hint="default" w:ascii="Times New Roman" w:hAnsi="Times New Roman" w:eastAsia="宋体" w:cs="Times New Roman"/>
                <w:i w:val="0"/>
                <w:iCs w:val="0"/>
                <w:color w:val="000000"/>
                <w:sz w:val="24"/>
                <w:szCs w:val="24"/>
                <w:u w:val="none"/>
              </w:rPr>
            </w:pPr>
          </w:p>
        </w:tc>
      </w:tr>
    </w:tbl>
    <w:p w14:paraId="4B0310A1"/>
    <w:tbl>
      <w:tblPr>
        <w:tblStyle w:val="6"/>
        <w:tblW w:w="127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45"/>
        <w:gridCol w:w="2238"/>
        <w:gridCol w:w="1320"/>
        <w:gridCol w:w="6427"/>
        <w:gridCol w:w="1530"/>
      </w:tblGrid>
      <w:tr w14:paraId="27CFFA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39" w:hRule="atLeast"/>
          <w:jc w:val="center"/>
        </w:trPr>
        <w:tc>
          <w:tcPr>
            <w:tcW w:w="1245" w:type="dxa"/>
            <w:tcBorders>
              <w:tl2br w:val="nil"/>
              <w:tr2bl w:val="nil"/>
            </w:tcBorders>
            <w:noWrap w:val="0"/>
            <w:vAlign w:val="center"/>
          </w:tcPr>
          <w:p w14:paraId="1FC66180">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16</w:t>
            </w:r>
          </w:p>
        </w:tc>
        <w:tc>
          <w:tcPr>
            <w:tcW w:w="2238" w:type="dxa"/>
            <w:vMerge w:val="restart"/>
            <w:tcBorders>
              <w:tl2br w:val="nil"/>
              <w:tr2bl w:val="nil"/>
            </w:tcBorders>
            <w:noWrap w:val="0"/>
            <w:vAlign w:val="center"/>
          </w:tcPr>
          <w:p w14:paraId="3DD2D8B1">
            <w:pPr>
              <w:keepNext w:val="0"/>
              <w:keepLines w:val="0"/>
              <w:widowControl/>
              <w:suppressLineNumbers w:val="0"/>
              <w:jc w:val="left"/>
              <w:textAlignment w:val="center"/>
              <w:rPr>
                <w:rFonts w:hint="default" w:ascii="Times New Roman" w:hAnsi="Times New Roman" w:eastAsia="方正仿宋简体" w:cs="Times New Roman"/>
                <w:i w:val="0"/>
                <w:iCs w:val="0"/>
                <w:color w:val="000000"/>
                <w:sz w:val="22"/>
                <w:szCs w:val="22"/>
                <w:u w:val="none"/>
              </w:rPr>
            </w:pPr>
            <w:r>
              <w:rPr>
                <w:rStyle w:val="8"/>
                <w:rFonts w:hint="eastAsia" w:eastAsia="方正仿宋简体" w:cs="Times New Roman"/>
                <w:sz w:val="22"/>
                <w:szCs w:val="22"/>
                <w:lang w:val="en-US" w:eastAsia="zh-CN" w:bidi="ar"/>
              </w:rPr>
              <w:t>五</w:t>
            </w:r>
            <w:r>
              <w:rPr>
                <w:rStyle w:val="8"/>
                <w:rFonts w:hint="default" w:ascii="Times New Roman" w:hAnsi="Times New Roman" w:eastAsia="方正仿宋简体" w:cs="Times New Roman"/>
                <w:sz w:val="22"/>
                <w:szCs w:val="22"/>
                <w:lang w:val="en-US" w:eastAsia="zh-CN" w:bidi="ar"/>
              </w:rPr>
              <w:t>、关于检查基层党组织领导班子和干部队伍建设</w:t>
            </w:r>
            <w:r>
              <w:rPr>
                <w:rFonts w:hint="default" w:ascii="Times New Roman" w:hAnsi="Times New Roman" w:eastAsia="方正仿宋简体" w:cs="Times New Roman"/>
                <w:i w:val="0"/>
                <w:iCs w:val="0"/>
                <w:color w:val="000000"/>
                <w:kern w:val="0"/>
                <w:sz w:val="22"/>
                <w:szCs w:val="22"/>
                <w:u w:val="none"/>
                <w:lang w:val="en-US" w:eastAsia="zh-CN" w:bidi="ar"/>
              </w:rPr>
              <w:t>方面的整改进展情况</w:t>
            </w:r>
          </w:p>
        </w:tc>
        <w:tc>
          <w:tcPr>
            <w:tcW w:w="1320" w:type="dxa"/>
            <w:tcBorders>
              <w:tl2br w:val="nil"/>
              <w:tr2bl w:val="nil"/>
            </w:tcBorders>
            <w:noWrap w:val="0"/>
            <w:vAlign w:val="center"/>
          </w:tcPr>
          <w:p w14:paraId="1002708E">
            <w:pPr>
              <w:keepNext w:val="0"/>
              <w:keepLines w:val="0"/>
              <w:widowControl/>
              <w:suppressLineNumbers w:val="0"/>
              <w:jc w:val="left"/>
              <w:textAlignment w:val="center"/>
              <w:rPr>
                <w:rFonts w:hint="default" w:ascii="Times New Roman" w:hAnsi="Times New Roman" w:eastAsia="方正仿宋简体" w:cs="Times New Roman"/>
                <w:i w:val="0"/>
                <w:iCs w:val="0"/>
                <w:color w:val="000000"/>
                <w:sz w:val="22"/>
                <w:szCs w:val="22"/>
                <w:u w:val="none"/>
              </w:rPr>
            </w:pPr>
            <w:r>
              <w:rPr>
                <w:rFonts w:hint="eastAsia" w:eastAsia="方正仿宋简体" w:cs="Times New Roman"/>
                <w:i w:val="0"/>
                <w:iCs w:val="0"/>
                <w:color w:val="000000"/>
                <w:kern w:val="0"/>
                <w:sz w:val="22"/>
                <w:szCs w:val="22"/>
                <w:u w:val="none"/>
                <w:lang w:val="en-US" w:eastAsia="zh-CN" w:bidi="ar"/>
              </w:rPr>
              <w:t>2</w:t>
            </w:r>
            <w:r>
              <w:rPr>
                <w:rFonts w:hint="default" w:ascii="Times New Roman" w:hAnsi="Times New Roman" w:eastAsia="方正仿宋简体" w:cs="Times New Roman"/>
                <w:i w:val="0"/>
                <w:iCs w:val="0"/>
                <w:color w:val="000000"/>
                <w:kern w:val="0"/>
                <w:sz w:val="22"/>
                <w:szCs w:val="22"/>
                <w:u w:val="none"/>
                <w:lang w:val="en-US" w:eastAsia="zh-CN" w:bidi="ar"/>
              </w:rPr>
              <w:t>.及时进行</w:t>
            </w:r>
            <w:r>
              <w:rPr>
                <w:rStyle w:val="8"/>
                <w:rFonts w:hint="default" w:ascii="Times New Roman" w:hAnsi="Times New Roman" w:eastAsia="方正仿宋简体" w:cs="Times New Roman"/>
                <w:sz w:val="22"/>
                <w:szCs w:val="22"/>
                <w:lang w:val="en-US" w:eastAsia="zh-CN" w:bidi="ar"/>
              </w:rPr>
              <w:t>财务公开</w:t>
            </w:r>
          </w:p>
        </w:tc>
        <w:tc>
          <w:tcPr>
            <w:tcW w:w="6427" w:type="dxa"/>
            <w:tcBorders>
              <w:tl2br w:val="nil"/>
              <w:tr2bl w:val="nil"/>
            </w:tcBorders>
            <w:noWrap w:val="0"/>
            <w:vAlign w:val="center"/>
          </w:tcPr>
          <w:p w14:paraId="3625ED75">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一是</w:t>
            </w:r>
            <w:r>
              <w:rPr>
                <w:rStyle w:val="8"/>
                <w:b w:val="0"/>
                <w:bCs w:val="0"/>
                <w:sz w:val="22"/>
                <w:szCs w:val="22"/>
                <w:lang w:val="en-US" w:eastAsia="zh-CN" w:bidi="ar"/>
              </w:rPr>
              <w:t>梳理了</w:t>
            </w:r>
            <w:r>
              <w:rPr>
                <w:rFonts w:hint="default" w:ascii="Times New Roman" w:hAnsi="Times New Roman" w:eastAsia="宋体" w:cs="Times New Roman"/>
                <w:b w:val="0"/>
                <w:bCs w:val="0"/>
                <w:i w:val="0"/>
                <w:iCs w:val="0"/>
                <w:color w:val="000000"/>
                <w:kern w:val="0"/>
                <w:sz w:val="22"/>
                <w:szCs w:val="22"/>
                <w:u w:val="none"/>
                <w:lang w:val="en-US" w:eastAsia="zh-CN" w:bidi="ar"/>
              </w:rPr>
              <w:t>2025</w:t>
            </w:r>
            <w:r>
              <w:rPr>
                <w:rStyle w:val="8"/>
                <w:b w:val="0"/>
                <w:bCs w:val="0"/>
                <w:sz w:val="22"/>
                <w:szCs w:val="22"/>
                <w:lang w:val="en-US" w:eastAsia="zh-CN" w:bidi="ar"/>
              </w:rPr>
              <w:t>年一、二季度财务收支明细，并通过村公告栏进行了公示。</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二是</w:t>
            </w:r>
            <w:r>
              <w:rPr>
                <w:rStyle w:val="8"/>
                <w:b w:val="0"/>
                <w:bCs w:val="0"/>
                <w:sz w:val="22"/>
                <w:szCs w:val="22"/>
                <w:lang w:val="en-US" w:eastAsia="zh-CN" w:bidi="ar"/>
              </w:rPr>
              <w:t>建立了财务季度公示制度，明确公示时间、内容和方式，接受村民监督。</w:t>
            </w:r>
          </w:p>
        </w:tc>
        <w:tc>
          <w:tcPr>
            <w:tcW w:w="1530" w:type="dxa"/>
            <w:tcBorders>
              <w:tl2br w:val="nil"/>
              <w:tr2bl w:val="nil"/>
            </w:tcBorders>
            <w:noWrap w:val="0"/>
            <w:vAlign w:val="center"/>
          </w:tcPr>
          <w:p w14:paraId="4E5BB2C2">
            <w:pPr>
              <w:rPr>
                <w:rFonts w:hint="default" w:ascii="Times New Roman" w:hAnsi="Times New Roman" w:eastAsia="宋体" w:cs="Times New Roman"/>
                <w:i w:val="0"/>
                <w:iCs w:val="0"/>
                <w:color w:val="000000"/>
                <w:sz w:val="24"/>
                <w:szCs w:val="24"/>
                <w:u w:val="none"/>
              </w:rPr>
            </w:pPr>
          </w:p>
        </w:tc>
      </w:tr>
      <w:tr w14:paraId="39AD2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75" w:hRule="atLeast"/>
          <w:jc w:val="center"/>
        </w:trPr>
        <w:tc>
          <w:tcPr>
            <w:tcW w:w="1245" w:type="dxa"/>
            <w:tcBorders>
              <w:tl2br w:val="nil"/>
              <w:tr2bl w:val="nil"/>
            </w:tcBorders>
            <w:noWrap w:val="0"/>
            <w:vAlign w:val="center"/>
          </w:tcPr>
          <w:p w14:paraId="751C96EB">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17</w:t>
            </w:r>
          </w:p>
        </w:tc>
        <w:tc>
          <w:tcPr>
            <w:tcW w:w="2238" w:type="dxa"/>
            <w:vMerge w:val="continue"/>
            <w:tcBorders>
              <w:tl2br w:val="nil"/>
              <w:tr2bl w:val="nil"/>
            </w:tcBorders>
            <w:noWrap w:val="0"/>
            <w:vAlign w:val="center"/>
          </w:tcPr>
          <w:p w14:paraId="0AEFAE40">
            <w:pPr>
              <w:keepNext w:val="0"/>
              <w:keepLines w:val="0"/>
              <w:widowControl/>
              <w:suppressLineNumbers w:val="0"/>
              <w:jc w:val="left"/>
              <w:textAlignment w:val="center"/>
              <w:rPr>
                <w:rFonts w:hint="default" w:ascii="Times New Roman" w:hAnsi="Times New Roman" w:eastAsia="方正仿宋简体" w:cs="Times New Roman"/>
                <w:i w:val="0"/>
                <w:iCs w:val="0"/>
                <w:color w:val="000000"/>
                <w:sz w:val="22"/>
                <w:szCs w:val="22"/>
                <w:u w:val="none"/>
              </w:rPr>
            </w:pPr>
          </w:p>
        </w:tc>
        <w:tc>
          <w:tcPr>
            <w:tcW w:w="1320" w:type="dxa"/>
            <w:vMerge w:val="restart"/>
            <w:tcBorders>
              <w:tl2br w:val="nil"/>
              <w:tr2bl w:val="nil"/>
            </w:tcBorders>
            <w:noWrap w:val="0"/>
            <w:vAlign w:val="center"/>
          </w:tcPr>
          <w:p w14:paraId="46F624E0">
            <w:pPr>
              <w:keepNext w:val="0"/>
              <w:keepLines w:val="0"/>
              <w:widowControl/>
              <w:suppressLineNumbers w:val="0"/>
              <w:jc w:val="left"/>
              <w:textAlignment w:val="center"/>
              <w:rPr>
                <w:rFonts w:hint="default" w:ascii="Times New Roman" w:hAnsi="Times New Roman" w:eastAsia="方正仿宋简体" w:cs="Times New Roman"/>
                <w:i w:val="0"/>
                <w:iCs w:val="0"/>
                <w:color w:val="000000"/>
                <w:sz w:val="22"/>
                <w:szCs w:val="22"/>
                <w:u w:val="none"/>
              </w:rPr>
            </w:pPr>
            <w:r>
              <w:rPr>
                <w:rFonts w:hint="eastAsia" w:eastAsia="方正仿宋简体" w:cs="Times New Roman"/>
                <w:i w:val="0"/>
                <w:iCs w:val="0"/>
                <w:color w:val="000000"/>
                <w:kern w:val="0"/>
                <w:sz w:val="22"/>
                <w:szCs w:val="22"/>
                <w:u w:val="none"/>
                <w:lang w:val="en-US" w:eastAsia="zh-CN" w:bidi="ar"/>
              </w:rPr>
              <w:t>3.</w:t>
            </w:r>
            <w:r>
              <w:rPr>
                <w:rFonts w:hint="default" w:ascii="Times New Roman" w:hAnsi="Times New Roman" w:eastAsia="方正仿宋简体" w:cs="Times New Roman"/>
                <w:i w:val="0"/>
                <w:iCs w:val="0"/>
                <w:color w:val="000000"/>
                <w:kern w:val="0"/>
                <w:sz w:val="22"/>
                <w:szCs w:val="22"/>
                <w:u w:val="none"/>
                <w:lang w:val="en-US" w:eastAsia="zh-CN" w:bidi="ar"/>
              </w:rPr>
              <w:t>规范</w:t>
            </w:r>
            <w:r>
              <w:rPr>
                <w:rStyle w:val="8"/>
                <w:rFonts w:hint="default" w:ascii="Times New Roman" w:hAnsi="Times New Roman" w:eastAsia="方正仿宋简体" w:cs="Times New Roman"/>
                <w:sz w:val="22"/>
                <w:szCs w:val="22"/>
                <w:lang w:val="en-US" w:eastAsia="zh-CN" w:bidi="ar"/>
              </w:rPr>
              <w:t>民主决策</w:t>
            </w:r>
          </w:p>
        </w:tc>
        <w:tc>
          <w:tcPr>
            <w:tcW w:w="6427" w:type="dxa"/>
            <w:tcBorders>
              <w:tl2br w:val="nil"/>
              <w:tr2bl w:val="nil"/>
            </w:tcBorders>
            <w:noWrap w:val="0"/>
            <w:vAlign w:val="center"/>
          </w:tcPr>
          <w:p w14:paraId="28A8C745">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sz w:val="22"/>
                <w:szCs w:val="22"/>
                <w:u w:val="none"/>
              </w:rPr>
            </w:pPr>
            <w:r>
              <w:rPr>
                <w:rStyle w:val="8"/>
                <w:b w:val="0"/>
                <w:bCs w:val="0"/>
                <w:sz w:val="22"/>
                <w:szCs w:val="22"/>
                <w:lang w:val="en-US" w:eastAsia="zh-CN" w:bidi="ar"/>
              </w:rPr>
              <w:t>完善相关会议，按程序公开集体资产出租情况，并完善了相关材料；组织村</w:t>
            </w:r>
            <w:r>
              <w:rPr>
                <w:rFonts w:hint="eastAsia" w:cs="Times New Roman"/>
                <w:b w:val="0"/>
                <w:bCs w:val="0"/>
                <w:i w:val="0"/>
                <w:iCs w:val="0"/>
                <w:color w:val="000000"/>
                <w:kern w:val="0"/>
                <w:sz w:val="22"/>
                <w:szCs w:val="22"/>
                <w:u w:val="none"/>
                <w:lang w:val="en-US" w:eastAsia="zh-CN" w:bidi="ar"/>
              </w:rPr>
              <w:t>“</w:t>
            </w:r>
            <w:r>
              <w:rPr>
                <w:rStyle w:val="8"/>
                <w:b w:val="0"/>
                <w:bCs w:val="0"/>
                <w:sz w:val="22"/>
                <w:szCs w:val="22"/>
                <w:lang w:val="en-US" w:eastAsia="zh-CN" w:bidi="ar"/>
              </w:rPr>
              <w:t>两委</w:t>
            </w:r>
            <w:r>
              <w:rPr>
                <w:rFonts w:hint="eastAsia" w:cs="Times New Roman"/>
                <w:b w:val="0"/>
                <w:bCs w:val="0"/>
                <w:i w:val="0"/>
                <w:iCs w:val="0"/>
                <w:color w:val="000000"/>
                <w:kern w:val="0"/>
                <w:sz w:val="22"/>
                <w:szCs w:val="22"/>
                <w:u w:val="none"/>
                <w:lang w:val="en-US" w:eastAsia="zh-CN" w:bidi="ar"/>
              </w:rPr>
              <w:t>”</w:t>
            </w:r>
            <w:r>
              <w:rPr>
                <w:rStyle w:val="8"/>
                <w:b w:val="0"/>
                <w:bCs w:val="0"/>
                <w:sz w:val="22"/>
                <w:szCs w:val="22"/>
                <w:lang w:val="en-US" w:eastAsia="zh-CN" w:bidi="ar"/>
              </w:rPr>
              <w:t>成员对</w:t>
            </w:r>
            <w:r>
              <w:rPr>
                <w:rFonts w:hint="eastAsia" w:cs="Times New Roman"/>
                <w:b w:val="0"/>
                <w:bCs w:val="0"/>
                <w:i w:val="0"/>
                <w:iCs w:val="0"/>
                <w:color w:val="000000"/>
                <w:kern w:val="0"/>
                <w:sz w:val="22"/>
                <w:szCs w:val="22"/>
                <w:u w:val="none"/>
                <w:lang w:val="en-US" w:eastAsia="zh-CN" w:bidi="ar"/>
              </w:rPr>
              <w:t>“</w:t>
            </w:r>
            <w:r>
              <w:rPr>
                <w:rStyle w:val="8"/>
                <w:b w:val="0"/>
                <w:bCs w:val="0"/>
                <w:sz w:val="22"/>
                <w:szCs w:val="22"/>
                <w:lang w:val="en-US" w:eastAsia="zh-CN" w:bidi="ar"/>
              </w:rPr>
              <w:t>四议两公开</w:t>
            </w:r>
            <w:r>
              <w:rPr>
                <w:rFonts w:hint="eastAsia" w:cs="Times New Roman"/>
                <w:b w:val="0"/>
                <w:bCs w:val="0"/>
                <w:i w:val="0"/>
                <w:iCs w:val="0"/>
                <w:color w:val="000000"/>
                <w:kern w:val="0"/>
                <w:sz w:val="22"/>
                <w:szCs w:val="22"/>
                <w:u w:val="none"/>
                <w:lang w:val="en-US" w:eastAsia="zh-CN" w:bidi="ar"/>
              </w:rPr>
              <w:t>”</w:t>
            </w:r>
            <w:r>
              <w:rPr>
                <w:rStyle w:val="8"/>
                <w:b w:val="0"/>
                <w:bCs w:val="0"/>
                <w:sz w:val="22"/>
                <w:szCs w:val="22"/>
                <w:lang w:val="en-US" w:eastAsia="zh-CN" w:bidi="ar"/>
              </w:rPr>
              <w:t>制度进行了学习，明确集体资产处置流程。</w:t>
            </w:r>
          </w:p>
        </w:tc>
        <w:tc>
          <w:tcPr>
            <w:tcW w:w="1530" w:type="dxa"/>
            <w:tcBorders>
              <w:tl2br w:val="nil"/>
              <w:tr2bl w:val="nil"/>
            </w:tcBorders>
            <w:noWrap w:val="0"/>
            <w:vAlign w:val="center"/>
          </w:tcPr>
          <w:p w14:paraId="7D3173C2">
            <w:pPr>
              <w:rPr>
                <w:rFonts w:hint="default" w:ascii="Times New Roman" w:hAnsi="Times New Roman" w:eastAsia="宋体" w:cs="Times New Roman"/>
                <w:i w:val="0"/>
                <w:iCs w:val="0"/>
                <w:color w:val="000000"/>
                <w:sz w:val="24"/>
                <w:szCs w:val="24"/>
                <w:u w:val="none"/>
              </w:rPr>
            </w:pPr>
          </w:p>
        </w:tc>
      </w:tr>
      <w:tr w14:paraId="1E1FBB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75" w:hRule="atLeast"/>
          <w:jc w:val="center"/>
        </w:trPr>
        <w:tc>
          <w:tcPr>
            <w:tcW w:w="1245" w:type="dxa"/>
            <w:tcBorders>
              <w:tl2br w:val="nil"/>
              <w:tr2bl w:val="nil"/>
            </w:tcBorders>
            <w:noWrap w:val="0"/>
            <w:vAlign w:val="center"/>
          </w:tcPr>
          <w:p w14:paraId="1C05AC57">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18</w:t>
            </w:r>
          </w:p>
        </w:tc>
        <w:tc>
          <w:tcPr>
            <w:tcW w:w="2238" w:type="dxa"/>
            <w:vMerge w:val="continue"/>
            <w:tcBorders>
              <w:tl2br w:val="nil"/>
              <w:tr2bl w:val="nil"/>
            </w:tcBorders>
            <w:noWrap w:val="0"/>
            <w:vAlign w:val="center"/>
          </w:tcPr>
          <w:p w14:paraId="7173D1CB">
            <w:pPr>
              <w:rPr>
                <w:rFonts w:hint="default" w:ascii="Times New Roman" w:hAnsi="Times New Roman" w:eastAsia="方正仿宋简体" w:cs="Times New Roman"/>
                <w:i w:val="0"/>
                <w:iCs w:val="0"/>
                <w:color w:val="000000"/>
                <w:sz w:val="22"/>
                <w:szCs w:val="22"/>
                <w:u w:val="none"/>
              </w:rPr>
            </w:pPr>
          </w:p>
        </w:tc>
        <w:tc>
          <w:tcPr>
            <w:tcW w:w="1320" w:type="dxa"/>
            <w:vMerge w:val="continue"/>
            <w:tcBorders>
              <w:tl2br w:val="nil"/>
              <w:tr2bl w:val="nil"/>
            </w:tcBorders>
            <w:noWrap w:val="0"/>
            <w:vAlign w:val="center"/>
          </w:tcPr>
          <w:p w14:paraId="2445FCEB">
            <w:pPr>
              <w:rPr>
                <w:rFonts w:hint="default" w:ascii="Times New Roman" w:hAnsi="Times New Roman" w:eastAsia="方正仿宋简体" w:cs="Times New Roman"/>
                <w:i w:val="0"/>
                <w:iCs w:val="0"/>
                <w:color w:val="000000"/>
                <w:sz w:val="22"/>
                <w:szCs w:val="22"/>
                <w:u w:val="none"/>
              </w:rPr>
            </w:pPr>
          </w:p>
        </w:tc>
        <w:tc>
          <w:tcPr>
            <w:tcW w:w="6427" w:type="dxa"/>
            <w:tcBorders>
              <w:tl2br w:val="nil"/>
              <w:tr2bl w:val="nil"/>
            </w:tcBorders>
            <w:noWrap w:val="0"/>
            <w:vAlign w:val="center"/>
          </w:tcPr>
          <w:p w14:paraId="67BF801C">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sz w:val="22"/>
                <w:szCs w:val="22"/>
                <w:u w:val="none"/>
              </w:rPr>
            </w:pPr>
            <w:r>
              <w:rPr>
                <w:rStyle w:val="8"/>
                <w:b w:val="0"/>
                <w:bCs w:val="0"/>
                <w:sz w:val="22"/>
                <w:szCs w:val="22"/>
                <w:lang w:val="en-US" w:eastAsia="zh-CN" w:bidi="ar"/>
              </w:rPr>
              <w:t>对已支付费用进行了复核，补开了村</w:t>
            </w:r>
            <w:r>
              <w:rPr>
                <w:rFonts w:hint="default" w:ascii="Times New Roman" w:hAnsi="Times New Roman" w:eastAsia="宋体" w:cs="Times New Roman"/>
                <w:b w:val="0"/>
                <w:bCs w:val="0"/>
                <w:i w:val="0"/>
                <w:iCs w:val="0"/>
                <w:color w:val="000000"/>
                <w:kern w:val="0"/>
                <w:sz w:val="22"/>
                <w:szCs w:val="22"/>
                <w:u w:val="none"/>
                <w:lang w:val="en-US" w:eastAsia="zh-CN" w:bidi="ar"/>
              </w:rPr>
              <w:t xml:space="preserve"> </w:t>
            </w:r>
            <w:r>
              <w:rPr>
                <w:rFonts w:hint="eastAsia" w:cs="Times New Roman"/>
                <w:b w:val="0"/>
                <w:bCs w:val="0"/>
                <w:i w:val="0"/>
                <w:iCs w:val="0"/>
                <w:color w:val="000000"/>
                <w:kern w:val="0"/>
                <w:sz w:val="22"/>
                <w:szCs w:val="22"/>
                <w:u w:val="none"/>
                <w:lang w:val="en-US" w:eastAsia="zh-CN" w:bidi="ar"/>
              </w:rPr>
              <w:t>“</w:t>
            </w:r>
            <w:r>
              <w:rPr>
                <w:rStyle w:val="8"/>
                <w:b w:val="0"/>
                <w:bCs w:val="0"/>
                <w:sz w:val="22"/>
                <w:szCs w:val="22"/>
                <w:lang w:val="en-US" w:eastAsia="zh-CN" w:bidi="ar"/>
              </w:rPr>
              <w:t>两委</w:t>
            </w:r>
            <w:r>
              <w:rPr>
                <w:rFonts w:hint="eastAsia" w:cs="Times New Roman"/>
                <w:b w:val="0"/>
                <w:bCs w:val="0"/>
                <w:i w:val="0"/>
                <w:iCs w:val="0"/>
                <w:color w:val="000000"/>
                <w:kern w:val="0"/>
                <w:sz w:val="22"/>
                <w:szCs w:val="22"/>
                <w:u w:val="none"/>
                <w:lang w:val="en-US" w:eastAsia="zh-CN" w:bidi="ar"/>
              </w:rPr>
              <w:t>”</w:t>
            </w:r>
            <w:r>
              <w:rPr>
                <w:rStyle w:val="8"/>
                <w:b w:val="0"/>
                <w:bCs w:val="0"/>
                <w:sz w:val="22"/>
                <w:szCs w:val="22"/>
                <w:lang w:val="en-US" w:eastAsia="zh-CN" w:bidi="ar"/>
              </w:rPr>
              <w:t>会议，并完善了相关会议材料；组织村</w:t>
            </w:r>
            <w:r>
              <w:rPr>
                <w:rFonts w:hint="eastAsia" w:cs="Times New Roman"/>
                <w:b w:val="0"/>
                <w:bCs w:val="0"/>
                <w:i w:val="0"/>
                <w:iCs w:val="0"/>
                <w:color w:val="000000"/>
                <w:kern w:val="0"/>
                <w:sz w:val="22"/>
                <w:szCs w:val="22"/>
                <w:u w:val="none"/>
                <w:lang w:val="en-US" w:eastAsia="zh-CN" w:bidi="ar"/>
              </w:rPr>
              <w:t>“</w:t>
            </w:r>
            <w:r>
              <w:rPr>
                <w:rStyle w:val="8"/>
                <w:b w:val="0"/>
                <w:bCs w:val="0"/>
                <w:sz w:val="22"/>
                <w:szCs w:val="22"/>
                <w:lang w:val="en-US" w:eastAsia="zh-CN" w:bidi="ar"/>
              </w:rPr>
              <w:t>两委</w:t>
            </w:r>
            <w:r>
              <w:rPr>
                <w:rFonts w:hint="eastAsia" w:cs="Times New Roman"/>
                <w:b w:val="0"/>
                <w:bCs w:val="0"/>
                <w:i w:val="0"/>
                <w:iCs w:val="0"/>
                <w:color w:val="000000"/>
                <w:kern w:val="0"/>
                <w:sz w:val="22"/>
                <w:szCs w:val="22"/>
                <w:u w:val="none"/>
                <w:lang w:val="en-US" w:eastAsia="zh-CN" w:bidi="ar"/>
              </w:rPr>
              <w:t>”</w:t>
            </w:r>
            <w:r>
              <w:rPr>
                <w:rStyle w:val="8"/>
                <w:b w:val="0"/>
                <w:bCs w:val="0"/>
                <w:sz w:val="22"/>
                <w:szCs w:val="22"/>
                <w:lang w:val="en-US" w:eastAsia="zh-CN" w:bidi="ar"/>
              </w:rPr>
              <w:t>成员对</w:t>
            </w:r>
            <w:r>
              <w:rPr>
                <w:rFonts w:hint="eastAsia" w:cs="Times New Roman"/>
                <w:b w:val="0"/>
                <w:bCs w:val="0"/>
                <w:i w:val="0"/>
                <w:iCs w:val="0"/>
                <w:color w:val="000000"/>
                <w:kern w:val="0"/>
                <w:sz w:val="22"/>
                <w:szCs w:val="22"/>
                <w:u w:val="none"/>
                <w:lang w:val="en-US" w:eastAsia="zh-CN" w:bidi="ar"/>
              </w:rPr>
              <w:t>“</w:t>
            </w:r>
            <w:r>
              <w:rPr>
                <w:rStyle w:val="8"/>
                <w:b w:val="0"/>
                <w:bCs w:val="0"/>
                <w:sz w:val="22"/>
                <w:szCs w:val="22"/>
                <w:lang w:val="en-US" w:eastAsia="zh-CN" w:bidi="ar"/>
              </w:rPr>
              <w:t>三重一大</w:t>
            </w:r>
            <w:r>
              <w:rPr>
                <w:rFonts w:hint="eastAsia" w:cs="Times New Roman"/>
                <w:b w:val="0"/>
                <w:bCs w:val="0"/>
                <w:i w:val="0"/>
                <w:iCs w:val="0"/>
                <w:color w:val="000000"/>
                <w:kern w:val="0"/>
                <w:sz w:val="22"/>
                <w:szCs w:val="22"/>
                <w:u w:val="none"/>
                <w:lang w:val="en-US" w:eastAsia="zh-CN" w:bidi="ar"/>
              </w:rPr>
              <w:t>”</w:t>
            </w:r>
            <w:r>
              <w:rPr>
                <w:rStyle w:val="8"/>
                <w:b w:val="0"/>
                <w:bCs w:val="0"/>
                <w:sz w:val="22"/>
                <w:szCs w:val="22"/>
                <w:lang w:val="en-US" w:eastAsia="zh-CN" w:bidi="ar"/>
              </w:rPr>
              <w:t>决策制度进行了学习，明确大额资金支付需经村</w:t>
            </w:r>
            <w:r>
              <w:rPr>
                <w:rFonts w:hint="eastAsia" w:cs="Times New Roman"/>
                <w:b w:val="0"/>
                <w:bCs w:val="0"/>
                <w:i w:val="0"/>
                <w:iCs w:val="0"/>
                <w:color w:val="000000"/>
                <w:kern w:val="0"/>
                <w:sz w:val="22"/>
                <w:szCs w:val="22"/>
                <w:u w:val="none"/>
                <w:lang w:val="en-US" w:eastAsia="zh-CN" w:bidi="ar"/>
              </w:rPr>
              <w:t>“</w:t>
            </w:r>
            <w:r>
              <w:rPr>
                <w:rStyle w:val="8"/>
                <w:b w:val="0"/>
                <w:bCs w:val="0"/>
                <w:sz w:val="22"/>
                <w:szCs w:val="22"/>
                <w:lang w:val="en-US" w:eastAsia="zh-CN" w:bidi="ar"/>
              </w:rPr>
              <w:t>两委</w:t>
            </w:r>
            <w:r>
              <w:rPr>
                <w:rFonts w:hint="eastAsia" w:cs="Times New Roman"/>
                <w:b w:val="0"/>
                <w:bCs w:val="0"/>
                <w:i w:val="0"/>
                <w:iCs w:val="0"/>
                <w:color w:val="000000"/>
                <w:kern w:val="0"/>
                <w:sz w:val="22"/>
                <w:szCs w:val="22"/>
                <w:u w:val="none"/>
                <w:lang w:val="en-US" w:eastAsia="zh-CN" w:bidi="ar"/>
              </w:rPr>
              <w:t>”</w:t>
            </w:r>
            <w:r>
              <w:rPr>
                <w:rStyle w:val="8"/>
                <w:b w:val="0"/>
                <w:bCs w:val="0"/>
                <w:sz w:val="22"/>
                <w:szCs w:val="22"/>
                <w:lang w:val="en-US" w:eastAsia="zh-CN" w:bidi="ar"/>
              </w:rPr>
              <w:t>会议审议。</w:t>
            </w:r>
          </w:p>
        </w:tc>
        <w:tc>
          <w:tcPr>
            <w:tcW w:w="1530" w:type="dxa"/>
            <w:tcBorders>
              <w:tl2br w:val="nil"/>
              <w:tr2bl w:val="nil"/>
            </w:tcBorders>
            <w:noWrap w:val="0"/>
            <w:vAlign w:val="center"/>
          </w:tcPr>
          <w:p w14:paraId="6A2257E0">
            <w:pPr>
              <w:rPr>
                <w:rFonts w:hint="default" w:ascii="Times New Roman" w:hAnsi="Times New Roman" w:eastAsia="宋体" w:cs="Times New Roman"/>
                <w:i w:val="0"/>
                <w:iCs w:val="0"/>
                <w:color w:val="000000"/>
                <w:sz w:val="24"/>
                <w:szCs w:val="24"/>
                <w:u w:val="none"/>
              </w:rPr>
            </w:pPr>
          </w:p>
        </w:tc>
      </w:tr>
      <w:tr w14:paraId="64477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82" w:hRule="atLeast"/>
          <w:jc w:val="center"/>
        </w:trPr>
        <w:tc>
          <w:tcPr>
            <w:tcW w:w="1245" w:type="dxa"/>
            <w:tcBorders>
              <w:tl2br w:val="nil"/>
              <w:tr2bl w:val="nil"/>
            </w:tcBorders>
            <w:noWrap w:val="0"/>
            <w:vAlign w:val="center"/>
          </w:tcPr>
          <w:p w14:paraId="28A8D3BC">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19</w:t>
            </w:r>
          </w:p>
        </w:tc>
        <w:tc>
          <w:tcPr>
            <w:tcW w:w="2238" w:type="dxa"/>
            <w:vMerge w:val="continue"/>
            <w:tcBorders>
              <w:tl2br w:val="nil"/>
              <w:tr2bl w:val="nil"/>
            </w:tcBorders>
            <w:noWrap w:val="0"/>
            <w:vAlign w:val="center"/>
          </w:tcPr>
          <w:p w14:paraId="3694BC92">
            <w:pPr>
              <w:keepNext w:val="0"/>
              <w:keepLines w:val="0"/>
              <w:widowControl/>
              <w:suppressLineNumbers w:val="0"/>
              <w:jc w:val="left"/>
              <w:textAlignment w:val="center"/>
              <w:rPr>
                <w:rFonts w:hint="default" w:ascii="Times New Roman" w:hAnsi="Times New Roman" w:eastAsia="方正仿宋简体" w:cs="Times New Roman"/>
                <w:i w:val="0"/>
                <w:iCs w:val="0"/>
                <w:color w:val="000000"/>
                <w:sz w:val="22"/>
                <w:szCs w:val="22"/>
                <w:u w:val="none"/>
              </w:rPr>
            </w:pPr>
          </w:p>
        </w:tc>
        <w:tc>
          <w:tcPr>
            <w:tcW w:w="1320" w:type="dxa"/>
            <w:vMerge w:val="restart"/>
            <w:tcBorders>
              <w:tl2br w:val="nil"/>
              <w:tr2bl w:val="nil"/>
            </w:tcBorders>
            <w:noWrap w:val="0"/>
            <w:vAlign w:val="center"/>
          </w:tcPr>
          <w:p w14:paraId="063BF9F5">
            <w:pPr>
              <w:keepNext w:val="0"/>
              <w:keepLines w:val="0"/>
              <w:widowControl/>
              <w:suppressLineNumbers w:val="0"/>
              <w:jc w:val="left"/>
              <w:textAlignment w:val="center"/>
              <w:rPr>
                <w:rFonts w:hint="default" w:ascii="Times New Roman" w:hAnsi="Times New Roman" w:eastAsia="方正仿宋简体" w:cs="Times New Roman"/>
                <w:i w:val="0"/>
                <w:iCs w:val="0"/>
                <w:color w:val="000000"/>
                <w:sz w:val="22"/>
                <w:szCs w:val="22"/>
                <w:u w:val="none"/>
              </w:rPr>
            </w:pPr>
            <w:r>
              <w:rPr>
                <w:rFonts w:hint="eastAsia" w:eastAsia="方正仿宋简体" w:cs="Times New Roman"/>
                <w:i w:val="0"/>
                <w:iCs w:val="0"/>
                <w:color w:val="000000"/>
                <w:kern w:val="0"/>
                <w:sz w:val="22"/>
                <w:szCs w:val="22"/>
                <w:u w:val="none"/>
                <w:lang w:val="en-US" w:eastAsia="zh-CN" w:bidi="ar"/>
              </w:rPr>
              <w:t>4.</w:t>
            </w:r>
            <w:r>
              <w:rPr>
                <w:rFonts w:hint="default" w:ascii="Times New Roman" w:hAnsi="Times New Roman" w:eastAsia="方正仿宋简体" w:cs="Times New Roman"/>
                <w:i w:val="0"/>
                <w:iCs w:val="0"/>
                <w:color w:val="000000"/>
                <w:kern w:val="0"/>
                <w:sz w:val="22"/>
                <w:szCs w:val="22"/>
                <w:u w:val="none"/>
                <w:lang w:val="en-US" w:eastAsia="zh-CN" w:bidi="ar"/>
              </w:rPr>
              <w:t>扎实开展</w:t>
            </w:r>
            <w:r>
              <w:rPr>
                <w:rStyle w:val="8"/>
                <w:rFonts w:hint="default" w:ascii="Times New Roman" w:hAnsi="Times New Roman" w:eastAsia="方正仿宋简体" w:cs="Times New Roman"/>
                <w:sz w:val="22"/>
                <w:szCs w:val="22"/>
                <w:lang w:val="en-US" w:eastAsia="zh-CN" w:bidi="ar"/>
              </w:rPr>
              <w:t>基础党建工作</w:t>
            </w:r>
          </w:p>
        </w:tc>
        <w:tc>
          <w:tcPr>
            <w:tcW w:w="6427" w:type="dxa"/>
            <w:tcBorders>
              <w:tl2br w:val="nil"/>
              <w:tr2bl w:val="nil"/>
            </w:tcBorders>
            <w:noWrap w:val="0"/>
            <w:vAlign w:val="center"/>
          </w:tcPr>
          <w:p w14:paraId="114FCC73">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sz w:val="22"/>
                <w:szCs w:val="22"/>
                <w:u w:val="none"/>
              </w:rPr>
            </w:pPr>
            <w:r>
              <w:rPr>
                <w:rStyle w:val="8"/>
                <w:b w:val="0"/>
                <w:bCs w:val="0"/>
                <w:sz w:val="22"/>
                <w:szCs w:val="22"/>
                <w:lang w:val="en-US" w:eastAsia="zh-CN" w:bidi="ar"/>
              </w:rPr>
              <w:t>组织涉及的</w:t>
            </w:r>
            <w:r>
              <w:rPr>
                <w:rFonts w:hint="default" w:ascii="Times New Roman" w:hAnsi="Times New Roman" w:eastAsia="宋体" w:cs="Times New Roman"/>
                <w:b w:val="0"/>
                <w:bCs w:val="0"/>
                <w:i w:val="0"/>
                <w:iCs w:val="0"/>
                <w:color w:val="000000"/>
                <w:kern w:val="0"/>
                <w:sz w:val="22"/>
                <w:szCs w:val="22"/>
                <w:u w:val="none"/>
                <w:lang w:val="en-US" w:eastAsia="zh-CN" w:bidi="ar"/>
              </w:rPr>
              <w:t>5</w:t>
            </w:r>
            <w:r>
              <w:rPr>
                <w:rStyle w:val="8"/>
                <w:b w:val="0"/>
                <w:bCs w:val="0"/>
                <w:sz w:val="22"/>
                <w:szCs w:val="22"/>
                <w:lang w:val="en-US" w:eastAsia="zh-CN" w:bidi="ar"/>
              </w:rPr>
              <w:t>个党支部操作人员参加了云岭先锋</w:t>
            </w:r>
            <w:r>
              <w:rPr>
                <w:rFonts w:hint="default" w:ascii="Times New Roman" w:hAnsi="Times New Roman" w:eastAsia="宋体" w:cs="Times New Roman"/>
                <w:b w:val="0"/>
                <w:bCs w:val="0"/>
                <w:i w:val="0"/>
                <w:iCs w:val="0"/>
                <w:color w:val="000000"/>
                <w:kern w:val="0"/>
                <w:sz w:val="22"/>
                <w:szCs w:val="22"/>
                <w:u w:val="none"/>
                <w:lang w:val="en-US" w:eastAsia="zh-CN" w:bidi="ar"/>
              </w:rPr>
              <w:t>APP</w:t>
            </w:r>
            <w:r>
              <w:rPr>
                <w:rStyle w:val="8"/>
                <w:b w:val="0"/>
                <w:bCs w:val="0"/>
                <w:sz w:val="22"/>
                <w:szCs w:val="22"/>
                <w:lang w:val="en-US" w:eastAsia="zh-CN" w:bidi="ar"/>
              </w:rPr>
              <w:t>使用培训，明确党员大会与主题党日录入区别；在乡组织室协助下，更正补录了错误录入内容，并安排专人定期检查录入情况。</w:t>
            </w:r>
          </w:p>
        </w:tc>
        <w:tc>
          <w:tcPr>
            <w:tcW w:w="1530" w:type="dxa"/>
            <w:tcBorders>
              <w:tl2br w:val="nil"/>
              <w:tr2bl w:val="nil"/>
            </w:tcBorders>
            <w:noWrap w:val="0"/>
            <w:vAlign w:val="center"/>
          </w:tcPr>
          <w:p w14:paraId="02801928">
            <w:pPr>
              <w:rPr>
                <w:rFonts w:hint="default" w:ascii="Times New Roman" w:hAnsi="Times New Roman" w:eastAsia="宋体" w:cs="Times New Roman"/>
                <w:i w:val="0"/>
                <w:iCs w:val="0"/>
                <w:color w:val="000000"/>
                <w:sz w:val="24"/>
                <w:szCs w:val="24"/>
                <w:u w:val="none"/>
              </w:rPr>
            </w:pPr>
          </w:p>
        </w:tc>
      </w:tr>
      <w:tr w14:paraId="14BD09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7" w:hRule="atLeast"/>
          <w:jc w:val="center"/>
        </w:trPr>
        <w:tc>
          <w:tcPr>
            <w:tcW w:w="1245" w:type="dxa"/>
            <w:tcBorders>
              <w:tl2br w:val="nil"/>
              <w:tr2bl w:val="nil"/>
            </w:tcBorders>
            <w:noWrap w:val="0"/>
            <w:vAlign w:val="center"/>
          </w:tcPr>
          <w:p w14:paraId="6C361F4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2238" w:type="dxa"/>
            <w:vMerge w:val="continue"/>
            <w:tcBorders>
              <w:tl2br w:val="nil"/>
              <w:tr2bl w:val="nil"/>
            </w:tcBorders>
            <w:noWrap w:val="0"/>
            <w:vAlign w:val="center"/>
          </w:tcPr>
          <w:p w14:paraId="2F7581FE">
            <w:pPr>
              <w:rPr>
                <w:rFonts w:hint="default" w:ascii="Times New Roman" w:hAnsi="Times New Roman" w:eastAsia="宋体" w:cs="Times New Roman"/>
                <w:i w:val="0"/>
                <w:iCs w:val="0"/>
                <w:color w:val="000000"/>
                <w:sz w:val="22"/>
                <w:szCs w:val="22"/>
                <w:u w:val="none"/>
              </w:rPr>
            </w:pPr>
          </w:p>
        </w:tc>
        <w:tc>
          <w:tcPr>
            <w:tcW w:w="1320" w:type="dxa"/>
            <w:vMerge w:val="continue"/>
            <w:tcBorders>
              <w:tl2br w:val="nil"/>
              <w:tr2bl w:val="nil"/>
            </w:tcBorders>
            <w:noWrap w:val="0"/>
            <w:vAlign w:val="center"/>
          </w:tcPr>
          <w:p w14:paraId="57D779ED">
            <w:pPr>
              <w:rPr>
                <w:rFonts w:hint="default" w:ascii="Times New Roman" w:hAnsi="Times New Roman" w:eastAsia="宋体" w:cs="Times New Roman"/>
                <w:i w:val="0"/>
                <w:iCs w:val="0"/>
                <w:color w:val="000000"/>
                <w:sz w:val="22"/>
                <w:szCs w:val="22"/>
                <w:u w:val="none"/>
              </w:rPr>
            </w:pPr>
          </w:p>
        </w:tc>
        <w:tc>
          <w:tcPr>
            <w:tcW w:w="6427" w:type="dxa"/>
            <w:tcBorders>
              <w:tl2br w:val="nil"/>
              <w:tr2bl w:val="nil"/>
            </w:tcBorders>
            <w:noWrap w:val="0"/>
            <w:vAlign w:val="center"/>
          </w:tcPr>
          <w:p w14:paraId="7B264C33">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sz w:val="22"/>
                <w:szCs w:val="22"/>
                <w:u w:val="none"/>
              </w:rPr>
            </w:pPr>
            <w:r>
              <w:rPr>
                <w:rStyle w:val="8"/>
                <w:b w:val="0"/>
                <w:bCs w:val="0"/>
                <w:sz w:val="22"/>
                <w:szCs w:val="22"/>
                <w:lang w:val="en-US" w:eastAsia="zh-CN" w:bidi="ar"/>
              </w:rPr>
              <w:t>针对反馈的表述不正确的内容进行了修改，纠正了表述错误和不实内容；建立了党建材料三级审核制度，确保材料规范准确。</w:t>
            </w:r>
          </w:p>
        </w:tc>
        <w:tc>
          <w:tcPr>
            <w:tcW w:w="1530" w:type="dxa"/>
            <w:tcBorders>
              <w:tl2br w:val="nil"/>
              <w:tr2bl w:val="nil"/>
            </w:tcBorders>
            <w:noWrap w:val="0"/>
            <w:vAlign w:val="center"/>
          </w:tcPr>
          <w:p w14:paraId="6CBF36CB">
            <w:pPr>
              <w:rPr>
                <w:rFonts w:hint="default" w:ascii="Times New Roman" w:hAnsi="Times New Roman" w:eastAsia="宋体" w:cs="Times New Roman"/>
                <w:i w:val="0"/>
                <w:iCs w:val="0"/>
                <w:color w:val="000000"/>
                <w:sz w:val="24"/>
                <w:szCs w:val="24"/>
                <w:u w:val="none"/>
              </w:rPr>
            </w:pPr>
          </w:p>
        </w:tc>
      </w:tr>
    </w:tbl>
    <w:p w14:paraId="472378C9">
      <w:pPr>
        <w:keepNext w:val="0"/>
        <w:keepLines w:val="0"/>
        <w:widowControl/>
        <w:suppressLineNumbers w:val="0"/>
        <w:ind w:left="0" w:leftChars="0" w:right="0" w:rightChars="0"/>
        <w:jc w:val="both"/>
        <w:textAlignment w:val="center"/>
        <w:rPr>
          <w:rFonts w:ascii="宋体" w:hAnsi="宋体" w:eastAsia="宋体" w:cs="宋体"/>
          <w:i w:val="0"/>
          <w:iCs w:val="0"/>
          <w:color w:val="000000"/>
          <w:kern w:val="0"/>
          <w:sz w:val="24"/>
          <w:szCs w:val="24"/>
          <w:u w:val="none"/>
          <w:lang w:val="en-US" w:eastAsia="zh-CN" w:bidi="ar"/>
        </w:rPr>
        <w:sectPr>
          <w:pgSz w:w="16840" w:h="11910" w:orient="landscape"/>
          <w:pgMar w:top="1587" w:right="2211" w:bottom="1474" w:left="1871" w:header="0" w:footer="1389" w:gutter="0"/>
          <w:pgBorders>
            <w:top w:val="none" w:sz="0" w:space="0"/>
            <w:left w:val="none" w:sz="0" w:space="0"/>
            <w:bottom w:val="none" w:sz="0" w:space="0"/>
            <w:right w:val="none" w:sz="0" w:space="0"/>
          </w:pgBorders>
          <w:pgNumType w:fmt="decimal" w:start="1"/>
          <w:cols w:space="720" w:num="1"/>
          <w:rtlGutter w:val="0"/>
          <w:docGrid w:linePitch="1" w:charSpace="0"/>
        </w:sectPr>
      </w:pPr>
    </w:p>
    <w:p w14:paraId="4CC088AD"/>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楷体简体">
    <w:altName w:val="宋体"/>
    <w:panose1 w:val="03000509000000000000"/>
    <w:charset w:val="86"/>
    <w:family w:val="auto"/>
    <w:pitch w:val="default"/>
    <w:sig w:usb0="00000000" w:usb1="00000000" w:usb2="00000000" w:usb3="00000000" w:csb0="00040000" w:csb1="00000000"/>
  </w:font>
  <w:font w:name="方正仿宋简体">
    <w:altName w:val="微软雅黑"/>
    <w:panose1 w:val="03000509000000000000"/>
    <w:charset w:val="86"/>
    <w:family w:val="script"/>
    <w:pitch w:val="default"/>
    <w:sig w:usb0="00000000" w:usb1="00000000" w:usb2="00000000" w:usb3="00000000" w:csb0="00040000" w:csb1="00000000"/>
  </w:font>
  <w:font w:name="方正小标宋简体">
    <w:altName w:val="黑体"/>
    <w:panose1 w:val="02000000000000000000"/>
    <w:charset w:val="86"/>
    <w:family w:val="script"/>
    <w:pitch w:val="default"/>
    <w:sig w:usb0="00000000" w:usb1="00000000" w:usb2="00000012" w:usb3="00000000" w:csb0="00040001" w:csb1="00000000"/>
  </w:font>
  <w:font w:name="方正黑体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C1251">
    <w:pPr>
      <w:pStyle w:val="3"/>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DF8162"/>
    <w:multiLevelType w:val="singleLevel"/>
    <w:tmpl w:val="EBDF8162"/>
    <w:lvl w:ilvl="0" w:tentative="0">
      <w:start w:val="1"/>
      <w:numFmt w:val="chineseCounting"/>
      <w:pStyle w:val="2"/>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38000D"/>
    <w:rsid w:val="673800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widowControl w:val="0"/>
      <w:numPr>
        <w:ilvl w:val="0"/>
        <w:numId w:val="1"/>
      </w:numPr>
      <w:spacing w:line="560" w:lineRule="exact"/>
      <w:ind w:firstLine="880" w:firstLineChars="200"/>
      <w:jc w:val="both"/>
      <w:outlineLvl w:val="1"/>
    </w:pPr>
    <w:rPr>
      <w:rFonts w:ascii="Times New Roman" w:hAnsi="Times New Roman" w:eastAsia="方正楷体简体" w:cs="Times New Roman"/>
      <w:kern w:val="2"/>
      <w:sz w:val="34"/>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Body Text"/>
    <w:basedOn w:val="1"/>
    <w:next w:val="4"/>
    <w:qFormat/>
    <w:uiPriority w:val="0"/>
    <w:rPr>
      <w:sz w:val="32"/>
      <w:szCs w:val="20"/>
    </w:rPr>
  </w:style>
  <w:style w:type="paragraph" w:styleId="4">
    <w:name w:val="toc 5"/>
    <w:basedOn w:val="1"/>
    <w:next w:val="1"/>
    <w:qFormat/>
    <w:uiPriority w:val="0"/>
    <w:pPr>
      <w:ind w:left="1680" w:leftChars="800"/>
    </w:pPr>
  </w:style>
  <w:style w:type="paragraph" w:styleId="5">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character" w:customStyle="1" w:styleId="8">
    <w:name w:val="font91"/>
    <w:basedOn w:val="7"/>
    <w:qFormat/>
    <w:uiPriority w:val="0"/>
    <w:rPr>
      <w:rFonts w:hint="eastAsia" w:ascii="方正仿宋简体" w:hAnsi="方正仿宋简体" w:eastAsia="方正仿宋简体" w:cs="方正仿宋简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2026-09-03T06:54:00Z</dcterms:created>
  <dc:creator>在水一方</dc:creator>
  <cp:lastModifiedBy>在水一方</cp:lastModifiedBy>
  <dcterms:modified xsi:type="dcterms:W3CDTF">2026-09-03T06:55:18Z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9A2998CD246844BAB6578BAE7310ACFD_11</vt:lpwstr>
  </property>
  <property fmtid="{D5CDD505-2E9C-101B-9397-08002B2CF9AE}" pid="4" name="KSOTemplateDocerSaveRecord">
    <vt:lpwstr>eyJoZGlkIjoiZjVkZGY1M2E5OTE3ZDk1MzRmZjIzNDNkMTIxMTcxYmIiLCJ1c2VySWQiOiI0NjM0MDM3NDMifQ==</vt:lpwstr>
  </property>
</Properties>
</file>