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B4CFBB">
      <w:pPr>
        <w:pStyle w:val="9"/>
        <w:rPr>
          <w:rFonts w:hint="eastAsia" w:ascii="Times New Roman" w:hAnsi="Times New Roman" w:eastAsia="方正仿宋简体" w:cs="Times New Roman"/>
          <w:lang w:eastAsia="zh-CN"/>
        </w:rPr>
      </w:pPr>
    </w:p>
    <w:p w14:paraId="50F2478B">
      <w:pPr>
        <w:pStyle w:val="9"/>
        <w:rPr>
          <w:rFonts w:hint="eastAsia" w:ascii="Times New Roman" w:hAnsi="Times New Roman" w:eastAsia="方正仿宋简体" w:cs="Times New Roman"/>
          <w:lang w:eastAsia="zh-CN"/>
        </w:rPr>
      </w:pPr>
    </w:p>
    <w:p w14:paraId="4E7C21B1">
      <w:pPr>
        <w:pStyle w:val="3"/>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after="0" w:afterLines="0" w:line="560" w:lineRule="exact"/>
        <w:ind w:left="0" w:leftChars="0" w:firstLine="0" w:firstLineChars="0"/>
        <w:jc w:val="both"/>
        <w:textAlignment w:val="auto"/>
        <w:rPr>
          <w:rFonts w:hint="eastAsia" w:ascii="Times New Roman" w:hAnsi="Times New Roman" w:eastAsia="方正黑体简体" w:cs="方正黑体简体"/>
          <w:sz w:val="34"/>
          <w:szCs w:val="44"/>
          <w:highlight w:val="none"/>
          <w:u w:val="none" w:color="auto"/>
          <w:lang w:val="en-US" w:eastAsia="zh-CN"/>
        </w:rPr>
      </w:pPr>
      <w:bookmarkStart w:id="0" w:name="_GoBack"/>
      <w:r>
        <w:rPr>
          <w:rFonts w:hint="eastAsia" w:ascii="Times New Roman" w:hAnsi="Times New Roman" w:eastAsia="方正黑体简体" w:cs="方正黑体简体"/>
          <w:sz w:val="34"/>
          <w:szCs w:val="44"/>
          <w:highlight w:val="none"/>
          <w:u w:val="none" w:color="auto"/>
          <w:lang w:val="en-US" w:eastAsia="zh-CN"/>
        </w:rPr>
        <w:t>附件</w:t>
      </w:r>
      <w:r>
        <w:rPr>
          <w:rFonts w:hint="eastAsia" w:eastAsia="方正黑体简体" w:cs="方正黑体简体"/>
          <w:sz w:val="34"/>
          <w:szCs w:val="44"/>
          <w:highlight w:val="none"/>
          <w:u w:val="none" w:color="auto"/>
          <w:lang w:val="en-US" w:eastAsia="zh-CN"/>
        </w:rPr>
        <w:t>6</w:t>
      </w:r>
    </w:p>
    <w:bookmarkEnd w:id="0"/>
    <w:p w14:paraId="4F5951CB">
      <w:pPr>
        <w:keepLines w:val="0"/>
        <w:pageBreakBefore w:val="0"/>
        <w:widowControl w:val="0"/>
        <w:kinsoku/>
        <w:wordWrap/>
        <w:topLinePunct w:val="0"/>
        <w:bidi w:val="0"/>
        <w:spacing w:line="240" w:lineRule="auto"/>
        <w:jc w:val="center"/>
        <w:textAlignment w:val="auto"/>
        <w:rPr>
          <w:rFonts w:hint="eastAsia" w:ascii="Times New Roman" w:hAnsi="Times New Roman" w:eastAsia="方正小标宋简体" w:cs="Times New Roman"/>
          <w:sz w:val="44"/>
          <w:szCs w:val="44"/>
          <w:highlight w:val="none"/>
          <w:u w:val="none" w:color="auto"/>
          <w:lang w:val="en-US" w:eastAsia="zh-CN"/>
        </w:rPr>
      </w:pPr>
      <w:r>
        <w:rPr>
          <w:rFonts w:hint="eastAsia" w:ascii="Times New Roman" w:hAnsi="Times New Roman" w:eastAsia="方正小标宋简体" w:cs="Times New Roman"/>
          <w:sz w:val="44"/>
          <w:szCs w:val="44"/>
          <w:highlight w:val="none"/>
          <w:u w:val="none" w:color="auto"/>
          <w:lang w:val="en-US" w:eastAsia="zh-CN"/>
        </w:rPr>
        <w:t>十三届县委第八轮</w:t>
      </w:r>
      <w:r>
        <w:rPr>
          <w:rFonts w:hint="default" w:ascii="Times New Roman" w:hAnsi="Times New Roman" w:eastAsia="方正小标宋简体" w:cs="Times New Roman"/>
          <w:sz w:val="44"/>
          <w:szCs w:val="44"/>
          <w:highlight w:val="none"/>
          <w:u w:val="none" w:color="auto"/>
          <w:lang w:val="en-US" w:eastAsia="zh-CN"/>
        </w:rPr>
        <w:t>巡察</w:t>
      </w:r>
      <w:r>
        <w:rPr>
          <w:rFonts w:hint="eastAsia" w:eastAsia="方正小标宋简体" w:cs="Times New Roman"/>
          <w:sz w:val="44"/>
          <w:szCs w:val="44"/>
          <w:highlight w:val="none"/>
          <w:u w:val="none" w:color="auto"/>
          <w:lang w:val="en-US" w:eastAsia="zh-CN"/>
        </w:rPr>
        <w:t>芒糯村</w:t>
      </w:r>
      <w:r>
        <w:rPr>
          <w:rFonts w:hint="default" w:ascii="Times New Roman" w:hAnsi="Times New Roman" w:eastAsia="方正小标宋简体" w:cs="Times New Roman"/>
          <w:sz w:val="44"/>
          <w:szCs w:val="44"/>
          <w:highlight w:val="none"/>
          <w:u w:val="none" w:color="auto"/>
          <w:lang w:val="en-US" w:eastAsia="zh-CN"/>
        </w:rPr>
        <w:t>反馈问题</w:t>
      </w:r>
      <w:r>
        <w:rPr>
          <w:rFonts w:hint="eastAsia" w:ascii="Times New Roman" w:hAnsi="Times New Roman" w:eastAsia="方正小标宋简体" w:cs="Times New Roman"/>
          <w:sz w:val="44"/>
          <w:szCs w:val="44"/>
          <w:highlight w:val="none"/>
          <w:u w:val="none" w:color="auto"/>
          <w:lang w:val="en-US" w:eastAsia="zh-CN"/>
        </w:rPr>
        <w:t>社会公开台账</w:t>
      </w:r>
    </w:p>
    <w:p w14:paraId="763A745C">
      <w:pPr>
        <w:keepLines w:val="0"/>
        <w:pageBreakBefore w:val="0"/>
        <w:widowControl w:val="0"/>
        <w:kinsoku/>
        <w:wordWrap/>
        <w:topLinePunct w:val="0"/>
        <w:bidi w:val="0"/>
        <w:spacing w:line="240" w:lineRule="auto"/>
        <w:jc w:val="both"/>
        <w:textAlignment w:val="auto"/>
        <w:rPr>
          <w:rFonts w:hint="eastAsia" w:ascii="Times New Roman" w:hAnsi="Times New Roman" w:eastAsia="方正楷体简体" w:cs="方正楷体简体"/>
          <w:b w:val="0"/>
          <w:bCs w:val="0"/>
          <w:sz w:val="24"/>
          <w:szCs w:val="24"/>
          <w:highlight w:val="none"/>
          <w:u w:val="none" w:color="auto"/>
          <w:lang w:eastAsia="zh-CN"/>
        </w:rPr>
      </w:pPr>
      <w:r>
        <w:rPr>
          <w:rFonts w:hint="eastAsia" w:ascii="Times New Roman" w:hAnsi="Times New Roman" w:eastAsia="方正楷体简体" w:cs="方正楷体简体"/>
          <w:b w:val="0"/>
          <w:bCs w:val="0"/>
          <w:sz w:val="24"/>
          <w:szCs w:val="24"/>
          <w:highlight w:val="none"/>
          <w:u w:val="none" w:color="auto"/>
        </w:rPr>
        <w:t>填报单位（加盖公章）：</w:t>
      </w:r>
      <w:r>
        <w:rPr>
          <w:rFonts w:hint="eastAsia" w:eastAsia="方正楷体简体" w:cs="方正楷体简体"/>
          <w:b w:val="0"/>
          <w:bCs w:val="0"/>
          <w:sz w:val="24"/>
          <w:szCs w:val="24"/>
          <w:highlight w:val="none"/>
          <w:u w:val="none" w:color="auto"/>
          <w:lang w:eastAsia="zh-CN"/>
        </w:rPr>
        <w:t xml:space="preserve">中共文东佤族乡委员会 </w:t>
      </w:r>
      <w:r>
        <w:rPr>
          <w:rFonts w:hint="eastAsia" w:ascii="Times New Roman" w:hAnsi="Times New Roman" w:eastAsia="方正楷体简体" w:cs="方正楷体简体"/>
          <w:b w:val="0"/>
          <w:bCs w:val="0"/>
          <w:sz w:val="24"/>
          <w:szCs w:val="24"/>
          <w:highlight w:val="none"/>
          <w:u w:val="none" w:color="auto"/>
          <w:lang w:val="en-US" w:eastAsia="zh-CN"/>
        </w:rPr>
        <w:t xml:space="preserve">                   </w:t>
      </w:r>
      <w:r>
        <w:rPr>
          <w:rFonts w:hint="eastAsia" w:eastAsia="方正楷体简体" w:cs="方正楷体简体"/>
          <w:b w:val="0"/>
          <w:bCs w:val="0"/>
          <w:sz w:val="24"/>
          <w:szCs w:val="24"/>
          <w:highlight w:val="none"/>
          <w:u w:val="none" w:color="auto"/>
          <w:lang w:val="en-US" w:eastAsia="zh-CN"/>
        </w:rPr>
        <w:t xml:space="preserve">                   </w:t>
      </w:r>
      <w:r>
        <w:rPr>
          <w:rFonts w:hint="eastAsia" w:ascii="Times New Roman" w:hAnsi="Times New Roman" w:eastAsia="方正楷体简体" w:cs="方正楷体简体"/>
          <w:b w:val="0"/>
          <w:bCs w:val="0"/>
          <w:sz w:val="24"/>
          <w:szCs w:val="24"/>
          <w:highlight w:val="none"/>
          <w:u w:val="none" w:color="auto"/>
          <w:lang w:val="en-US" w:eastAsia="zh-CN"/>
        </w:rPr>
        <w:t xml:space="preserve">          </w:t>
      </w:r>
      <w:r>
        <w:rPr>
          <w:rFonts w:hint="eastAsia" w:ascii="Times New Roman" w:hAnsi="Times New Roman" w:eastAsia="方正楷体简体" w:cs="方正楷体简体"/>
          <w:b w:val="0"/>
          <w:bCs w:val="0"/>
          <w:sz w:val="24"/>
          <w:szCs w:val="24"/>
          <w:highlight w:val="none"/>
          <w:u w:val="none" w:color="auto"/>
        </w:rPr>
        <w:t>填报日期：</w:t>
      </w:r>
      <w:r>
        <w:rPr>
          <w:rFonts w:hint="eastAsia" w:ascii="Times New Roman" w:hAnsi="Times New Roman" w:eastAsia="方正楷体简体" w:cs="方正楷体简体"/>
          <w:b w:val="0"/>
          <w:bCs w:val="0"/>
          <w:sz w:val="24"/>
          <w:szCs w:val="24"/>
          <w:highlight w:val="none"/>
          <w:u w:val="none" w:color="auto"/>
          <w:lang w:val="en-US" w:eastAsia="zh-CN"/>
        </w:rPr>
        <w:t>202</w:t>
      </w:r>
      <w:r>
        <w:rPr>
          <w:rFonts w:hint="eastAsia" w:eastAsia="方正楷体简体" w:cs="方正楷体简体"/>
          <w:b w:val="0"/>
          <w:bCs w:val="0"/>
          <w:sz w:val="24"/>
          <w:szCs w:val="24"/>
          <w:highlight w:val="none"/>
          <w:u w:val="none" w:color="auto"/>
          <w:lang w:val="en-US" w:eastAsia="zh-CN"/>
        </w:rPr>
        <w:t>6</w:t>
      </w:r>
      <w:r>
        <w:rPr>
          <w:rFonts w:hint="eastAsia" w:ascii="Times New Roman" w:hAnsi="Times New Roman" w:eastAsia="方正楷体简体" w:cs="方正楷体简体"/>
          <w:b w:val="0"/>
          <w:bCs w:val="0"/>
          <w:sz w:val="24"/>
          <w:szCs w:val="24"/>
          <w:highlight w:val="none"/>
          <w:u w:val="none" w:color="auto"/>
        </w:rPr>
        <w:t>年</w:t>
      </w:r>
      <w:r>
        <w:rPr>
          <w:rFonts w:hint="eastAsia" w:eastAsia="方正楷体简体" w:cs="方正楷体简体"/>
          <w:b w:val="0"/>
          <w:bCs w:val="0"/>
          <w:sz w:val="24"/>
          <w:szCs w:val="24"/>
          <w:highlight w:val="none"/>
          <w:u w:val="none" w:color="auto"/>
          <w:lang w:val="en-US" w:eastAsia="zh-CN"/>
        </w:rPr>
        <w:t>8</w:t>
      </w:r>
      <w:r>
        <w:rPr>
          <w:rFonts w:hint="eastAsia" w:ascii="Times New Roman" w:hAnsi="Times New Roman" w:eastAsia="方正楷体简体" w:cs="方正楷体简体"/>
          <w:b w:val="0"/>
          <w:bCs w:val="0"/>
          <w:sz w:val="24"/>
          <w:szCs w:val="24"/>
          <w:highlight w:val="none"/>
          <w:u w:val="none" w:color="auto"/>
        </w:rPr>
        <w:t>月</w:t>
      </w:r>
      <w:r>
        <w:rPr>
          <w:rFonts w:hint="eastAsia" w:eastAsia="方正楷体简体" w:cs="方正楷体简体"/>
          <w:b w:val="0"/>
          <w:bCs w:val="0"/>
          <w:sz w:val="24"/>
          <w:szCs w:val="24"/>
          <w:highlight w:val="none"/>
          <w:u w:val="none" w:color="auto"/>
          <w:lang w:val="en-US" w:eastAsia="zh-CN"/>
        </w:rPr>
        <w:t>28</w:t>
      </w:r>
      <w:r>
        <w:rPr>
          <w:rFonts w:hint="eastAsia" w:ascii="Times New Roman" w:hAnsi="Times New Roman" w:eastAsia="方正楷体简体" w:cs="方正楷体简体"/>
          <w:b w:val="0"/>
          <w:bCs w:val="0"/>
          <w:sz w:val="24"/>
          <w:szCs w:val="24"/>
          <w:highlight w:val="none"/>
          <w:u w:val="none" w:color="auto"/>
          <w:lang w:eastAsia="zh-CN"/>
        </w:rPr>
        <w:t>日</w:t>
      </w:r>
    </w:p>
    <w:tbl>
      <w:tblPr>
        <w:tblStyle w:val="7"/>
        <w:tblW w:w="15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0"/>
        <w:gridCol w:w="2670"/>
        <w:gridCol w:w="2700"/>
        <w:gridCol w:w="6465"/>
        <w:gridCol w:w="1728"/>
      </w:tblGrid>
      <w:tr w14:paraId="1C2B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blHeader/>
          <w:jc w:val="center"/>
        </w:trPr>
        <w:tc>
          <w:tcPr>
            <w:tcW w:w="1520" w:type="dxa"/>
            <w:noWrap w:val="0"/>
            <w:vAlign w:val="center"/>
          </w:tcPr>
          <w:p w14:paraId="37A8813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sz w:val="24"/>
                <w:szCs w:val="24"/>
                <w:highlight w:val="none"/>
                <w:u w:val="none" w:color="auto"/>
                <w:vertAlign w:val="baseline"/>
              </w:rPr>
            </w:pPr>
            <w:r>
              <w:rPr>
                <w:rFonts w:hint="eastAsia" w:ascii="Times New Roman" w:hAnsi="Times New Roman" w:eastAsia="方正黑体简体" w:cs="方正黑体简体"/>
                <w:b w:val="0"/>
                <w:bCs w:val="0"/>
                <w:color w:val="auto"/>
                <w:spacing w:val="6"/>
                <w:sz w:val="24"/>
                <w:szCs w:val="24"/>
                <w:highlight w:val="none"/>
                <w:u w:val="none" w:color="auto"/>
                <w:vertAlign w:val="baseline"/>
              </w:rPr>
              <w:t>序号</w:t>
            </w:r>
          </w:p>
        </w:tc>
        <w:tc>
          <w:tcPr>
            <w:tcW w:w="2670" w:type="dxa"/>
            <w:noWrap w:val="0"/>
            <w:vAlign w:val="center"/>
          </w:tcPr>
          <w:p w14:paraId="37AFD0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sz w:val="24"/>
                <w:szCs w:val="24"/>
                <w:highlight w:val="none"/>
                <w:u w:val="none" w:color="auto"/>
                <w:vertAlign w:val="baseline"/>
              </w:rPr>
            </w:pPr>
            <w:r>
              <w:rPr>
                <w:rFonts w:hint="eastAsia" w:ascii="Times New Roman" w:hAnsi="Times New Roman" w:eastAsia="方正黑体简体" w:cs="方正黑体简体"/>
                <w:b w:val="0"/>
                <w:bCs w:val="0"/>
                <w:color w:val="auto"/>
                <w:spacing w:val="6"/>
                <w:sz w:val="24"/>
                <w:szCs w:val="24"/>
                <w:highlight w:val="none"/>
                <w:u w:val="none" w:color="auto"/>
                <w:vertAlign w:val="baseline"/>
              </w:rPr>
              <w:t>问题分类（二级标题）</w:t>
            </w:r>
          </w:p>
        </w:tc>
        <w:tc>
          <w:tcPr>
            <w:tcW w:w="2700" w:type="dxa"/>
            <w:noWrap w:val="0"/>
            <w:vAlign w:val="center"/>
          </w:tcPr>
          <w:p w14:paraId="70990EB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sz w:val="24"/>
                <w:szCs w:val="24"/>
                <w:highlight w:val="none"/>
                <w:u w:val="none" w:color="auto"/>
                <w:vertAlign w:val="baseline"/>
                <w:lang w:eastAsia="zh-CN"/>
              </w:rPr>
            </w:pPr>
            <w:r>
              <w:rPr>
                <w:rFonts w:hint="eastAsia" w:eastAsia="方正黑体简体" w:cs="方正黑体简体"/>
                <w:b w:val="0"/>
                <w:bCs w:val="0"/>
                <w:color w:val="auto"/>
                <w:spacing w:val="6"/>
                <w:sz w:val="24"/>
                <w:szCs w:val="24"/>
                <w:highlight w:val="none"/>
                <w:u w:val="none" w:color="auto"/>
                <w:vertAlign w:val="baseline"/>
                <w:lang w:eastAsia="zh-CN"/>
              </w:rPr>
              <w:t>主要措施</w:t>
            </w:r>
          </w:p>
        </w:tc>
        <w:tc>
          <w:tcPr>
            <w:tcW w:w="6465" w:type="dxa"/>
            <w:noWrap w:val="0"/>
            <w:vAlign w:val="center"/>
          </w:tcPr>
          <w:p w14:paraId="0BAAC64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sz w:val="24"/>
                <w:szCs w:val="24"/>
                <w:highlight w:val="none"/>
                <w:u w:val="none" w:color="auto"/>
                <w:vertAlign w:val="baseline"/>
              </w:rPr>
            </w:pPr>
            <w:r>
              <w:rPr>
                <w:rFonts w:hint="eastAsia" w:ascii="Times New Roman" w:hAnsi="Times New Roman" w:eastAsia="方正黑体简体" w:cs="方正黑体简体"/>
                <w:b w:val="0"/>
                <w:bCs w:val="0"/>
                <w:color w:val="auto"/>
                <w:spacing w:val="6"/>
                <w:sz w:val="24"/>
                <w:szCs w:val="24"/>
                <w:highlight w:val="none"/>
                <w:u w:val="none" w:color="auto"/>
                <w:vertAlign w:val="baseline"/>
              </w:rPr>
              <w:t>整改工作及成效</w:t>
            </w:r>
          </w:p>
        </w:tc>
        <w:tc>
          <w:tcPr>
            <w:tcW w:w="1728" w:type="dxa"/>
            <w:noWrap w:val="0"/>
            <w:vAlign w:val="center"/>
          </w:tcPr>
          <w:p w14:paraId="6568E3A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kern w:val="2"/>
                <w:sz w:val="24"/>
                <w:szCs w:val="24"/>
                <w:highlight w:val="none"/>
                <w:u w:val="none" w:color="auto"/>
                <w:vertAlign w:val="baseline"/>
                <w:lang w:val="en-US" w:eastAsia="zh-CN" w:bidi="ar-SA"/>
              </w:rPr>
            </w:pPr>
            <w:r>
              <w:rPr>
                <w:rFonts w:hint="eastAsia" w:ascii="Times New Roman" w:hAnsi="Times New Roman" w:eastAsia="方正黑体简体" w:cs="方正黑体简体"/>
                <w:b w:val="0"/>
                <w:bCs w:val="0"/>
                <w:color w:val="auto"/>
                <w:spacing w:val="6"/>
                <w:sz w:val="24"/>
                <w:szCs w:val="24"/>
                <w:highlight w:val="none"/>
                <w:u w:val="none" w:color="auto"/>
                <w:vertAlign w:val="baseline"/>
              </w:rPr>
              <w:t>备注</w:t>
            </w:r>
          </w:p>
        </w:tc>
      </w:tr>
      <w:tr w14:paraId="5A63C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0" w:hRule="atLeast"/>
          <w:jc w:val="center"/>
        </w:trPr>
        <w:tc>
          <w:tcPr>
            <w:tcW w:w="1520" w:type="dxa"/>
            <w:noWrap w:val="0"/>
            <w:vAlign w:val="center"/>
          </w:tcPr>
          <w:p w14:paraId="17E03E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w:t>
            </w:r>
          </w:p>
        </w:tc>
        <w:tc>
          <w:tcPr>
            <w:tcW w:w="2670" w:type="dxa"/>
            <w:noWrap w:val="0"/>
            <w:vAlign w:val="center"/>
          </w:tcPr>
          <w:p w14:paraId="5621134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方正仿宋简体"/>
                <w:b/>
                <w:bCs/>
                <w:color w:val="auto"/>
                <w:spacing w:val="6"/>
                <w:sz w:val="21"/>
                <w:szCs w:val="21"/>
                <w:highlight w:val="none"/>
                <w:u w:val="none" w:color="auto"/>
                <w:vertAlign w:val="baseline"/>
                <w:lang w:val="en-US" w:eastAsia="zh-CN"/>
              </w:rPr>
            </w:pPr>
            <w:r>
              <w:rPr>
                <w:rFonts w:hint="eastAsia" w:ascii="Times New Roman" w:hAnsi="Times New Roman" w:eastAsia="方正仿宋简体" w:cs="方正仿宋简体"/>
                <w:b/>
                <w:bCs/>
                <w:color w:val="auto"/>
                <w:spacing w:val="6"/>
                <w:sz w:val="21"/>
                <w:szCs w:val="21"/>
                <w:highlight w:val="none"/>
                <w:u w:val="none" w:color="auto"/>
                <w:vertAlign w:val="baseline"/>
                <w:lang w:eastAsia="zh-CN"/>
              </w:rPr>
              <w:t>一、</w:t>
            </w:r>
            <w:r>
              <w:rPr>
                <w:rFonts w:hint="eastAsia" w:eastAsia="方正仿宋简体" w:cs="方正仿宋简体"/>
                <w:b w:val="0"/>
                <w:bCs w:val="0"/>
                <w:color w:val="auto"/>
                <w:spacing w:val="6"/>
                <w:sz w:val="21"/>
                <w:szCs w:val="21"/>
                <w:highlight w:val="none"/>
                <w:u w:val="none" w:color="auto"/>
                <w:vertAlign w:val="baseline"/>
                <w:lang w:eastAsia="zh-CN"/>
              </w:rPr>
              <w:t>关于</w:t>
            </w:r>
            <w:r>
              <w:rPr>
                <w:rFonts w:hint="default" w:ascii="Times New Roman" w:hAnsi="Times New Roman" w:eastAsia="方正仿宋简体" w:cs="Times New Roman"/>
                <w:b w:val="0"/>
                <w:bCs w:val="0"/>
                <w:color w:val="auto"/>
                <w:spacing w:val="0"/>
                <w:kern w:val="2"/>
                <w:sz w:val="21"/>
                <w:szCs w:val="21"/>
                <w:highlight w:val="none"/>
                <w:u w:val="none" w:color="auto"/>
                <w:lang w:val="en-US" w:eastAsia="zh-CN" w:bidi="ar-SA"/>
              </w:rPr>
              <w:t>巡</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察、审计等监督检查发现问题整改不到位</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700" w:type="dxa"/>
            <w:noWrap w:val="0"/>
            <w:vAlign w:val="center"/>
          </w:tcPr>
          <w:p w14:paraId="19B0FB3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w:t>
            </w:r>
            <w:r>
              <w:rPr>
                <w:rFonts w:hint="eastAsia" w:eastAsia="方正仿宋简体" w:cs="（使用中文字体）"/>
                <w:b w:val="0"/>
                <w:bCs w:val="0"/>
                <w:color w:val="auto"/>
                <w:spacing w:val="6"/>
                <w:sz w:val="21"/>
                <w:szCs w:val="21"/>
                <w:highlight w:val="none"/>
                <w:u w:val="none" w:color="auto"/>
                <w:vertAlign w:val="baseline"/>
                <w:lang w:val="en-US" w:eastAsia="zh-CN"/>
              </w:rPr>
              <w:t>严格</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对巡察持续整改责任</w:t>
            </w:r>
            <w:r>
              <w:rPr>
                <w:rFonts w:hint="eastAsia" w:eastAsia="方正仿宋简体" w:cs="（使用中文字体）"/>
                <w:b w:val="0"/>
                <w:bCs w:val="0"/>
                <w:color w:val="auto"/>
                <w:spacing w:val="6"/>
                <w:sz w:val="21"/>
                <w:szCs w:val="21"/>
                <w:highlight w:val="none"/>
                <w:u w:val="none" w:color="auto"/>
                <w:vertAlign w:val="baseline"/>
                <w:lang w:val="en-US" w:eastAsia="zh-CN"/>
              </w:rPr>
              <w:t>压实。</w:t>
            </w:r>
          </w:p>
        </w:tc>
        <w:tc>
          <w:tcPr>
            <w:tcW w:w="6465" w:type="dxa"/>
            <w:noWrap w:val="0"/>
            <w:vAlign w:val="center"/>
          </w:tcPr>
          <w:p w14:paraId="03FC67C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强化思想认识，加强对“三务”公开管理要求的系统学习。并及时全面梳理党务、村务、财务信息收集、整理和更新。涉及村民切身利益的重要信息及时公开。二是及时更新组织架构信息。由村委会牵头，采集更新村“两委”班子成员信息，并于10月10日完成新展板的制作与更换工作。三是建立动态更新机制，指定村副主任不定期对公示内容进行核查，对机构内人员调整，职责变动等情况进行及时更新。</w:t>
            </w:r>
          </w:p>
        </w:tc>
        <w:tc>
          <w:tcPr>
            <w:tcW w:w="1728" w:type="dxa"/>
            <w:noWrap w:val="0"/>
            <w:vAlign w:val="center"/>
          </w:tcPr>
          <w:p w14:paraId="2EE0D9C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10D22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0" w:type="dxa"/>
            <w:noWrap w:val="0"/>
            <w:vAlign w:val="center"/>
          </w:tcPr>
          <w:p w14:paraId="216351B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2</w:t>
            </w:r>
          </w:p>
        </w:tc>
        <w:tc>
          <w:tcPr>
            <w:tcW w:w="2670" w:type="dxa"/>
            <w:vMerge w:val="restart"/>
            <w:noWrap w:val="0"/>
            <w:vAlign w:val="center"/>
          </w:tcPr>
          <w:p w14:paraId="23A5D09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lang w:eastAsia="zh-CN"/>
              </w:rPr>
            </w:pPr>
            <w:r>
              <w:rPr>
                <w:rFonts w:hint="eastAsia" w:ascii="Times New Roman" w:hAnsi="Times New Roman" w:eastAsia="方正仿宋简体" w:cs="Times New Roman"/>
                <w:b w:val="0"/>
                <w:bCs/>
                <w:color w:val="auto"/>
                <w:spacing w:val="0"/>
                <w:kern w:val="2"/>
                <w:sz w:val="21"/>
                <w:szCs w:val="21"/>
                <w:highlight w:val="none"/>
                <w:u w:val="none" w:color="auto"/>
                <w:lang w:val="en-US" w:eastAsia="zh-CN" w:bidi="ar-SA"/>
              </w:rPr>
              <w:t>二、</w:t>
            </w:r>
            <w:r>
              <w:rPr>
                <w:rFonts w:hint="eastAsia" w:eastAsia="方正仿宋简体" w:cs="Times New Roman"/>
                <w:b w:val="0"/>
                <w:bCs/>
                <w:color w:val="auto"/>
                <w:spacing w:val="0"/>
                <w:kern w:val="2"/>
                <w:sz w:val="21"/>
                <w:szCs w:val="21"/>
                <w:highlight w:val="none"/>
                <w:u w:val="none" w:color="auto"/>
                <w:lang w:val="en-US" w:eastAsia="zh-CN" w:bidi="ar-SA"/>
              </w:rPr>
              <w:t>关于</w:t>
            </w:r>
            <w:r>
              <w:rPr>
                <w:rFonts w:hint="eastAsia" w:ascii="Times New Roman" w:hAnsi="Times New Roman" w:eastAsia="方正仿宋简体" w:cs="Times New Roman"/>
                <w:b w:val="0"/>
                <w:bCs/>
                <w:color w:val="auto"/>
                <w:spacing w:val="0"/>
                <w:kern w:val="2"/>
                <w:sz w:val="21"/>
                <w:szCs w:val="21"/>
                <w:highlight w:val="none"/>
                <w:u w:val="none" w:color="auto"/>
                <w:lang w:val="en-US" w:eastAsia="zh-CN" w:bidi="ar-SA"/>
              </w:rPr>
              <w:t>学习贯彻习近平新时代中国特色社会主义思想和党的二十大精神不到位</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700" w:type="dxa"/>
            <w:noWrap w:val="0"/>
            <w:vAlign w:val="center"/>
          </w:tcPr>
          <w:p w14:paraId="6B5EABA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2.</w:t>
            </w:r>
            <w:r>
              <w:rPr>
                <w:rFonts w:hint="eastAsia" w:eastAsia="方正仿宋简体" w:cs="（使用中文字体）"/>
                <w:b w:val="0"/>
                <w:bCs w:val="0"/>
                <w:color w:val="auto"/>
                <w:spacing w:val="6"/>
                <w:sz w:val="21"/>
                <w:szCs w:val="21"/>
                <w:highlight w:val="none"/>
                <w:u w:val="none" w:color="auto"/>
                <w:vertAlign w:val="baseline"/>
                <w:lang w:val="en-US" w:eastAsia="zh-CN"/>
              </w:rPr>
              <w:t>严格落实</w:t>
            </w:r>
            <w:r>
              <w:rPr>
                <w:rFonts w:hint="default" w:ascii="Times New Roman" w:hAnsi="Times New Roman" w:eastAsia="方正仿宋简体" w:cs="（使用中文字体）"/>
                <w:b w:val="0"/>
                <w:bCs w:val="0"/>
                <w:color w:val="auto"/>
                <w:spacing w:val="6"/>
                <w:sz w:val="21"/>
                <w:szCs w:val="21"/>
                <w:highlight w:val="none"/>
                <w:u w:val="none" w:color="auto"/>
                <w:vertAlign w:val="baseline"/>
              </w:rPr>
              <w:t>“第一议题”制度执行</w:t>
            </w:r>
            <w:r>
              <w:rPr>
                <w:rFonts w:hint="eastAsia" w:eastAsia="方正仿宋简体" w:cs="（使用中文字体）"/>
                <w:b w:val="0"/>
                <w:bCs w:val="0"/>
                <w:color w:val="auto"/>
                <w:spacing w:val="6"/>
                <w:sz w:val="21"/>
                <w:szCs w:val="21"/>
                <w:highlight w:val="none"/>
                <w:u w:val="none" w:color="auto"/>
                <w:vertAlign w:val="baseline"/>
                <w:lang w:eastAsia="zh-CN"/>
              </w:rPr>
              <w:t>、</w:t>
            </w:r>
            <w:r>
              <w:rPr>
                <w:rFonts w:hint="default" w:ascii="Times New Roman" w:hAnsi="Times New Roman" w:eastAsia="方正仿宋简体" w:cs="（使用中文字体）"/>
                <w:b w:val="0"/>
                <w:bCs w:val="0"/>
                <w:color w:val="auto"/>
                <w:spacing w:val="6"/>
                <w:sz w:val="21"/>
                <w:szCs w:val="21"/>
                <w:highlight w:val="none"/>
                <w:u w:val="none" w:color="auto"/>
                <w:vertAlign w:val="baseline"/>
              </w:rPr>
              <w:t>规范。</w:t>
            </w:r>
          </w:p>
        </w:tc>
        <w:tc>
          <w:tcPr>
            <w:tcW w:w="6465" w:type="dxa"/>
            <w:noWrap w:val="0"/>
            <w:vAlign w:val="center"/>
          </w:tcPr>
          <w:p w14:paraId="6E50F90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严格规范会议流程，确保“第一议题”制度得到有效落实。总支委员会会议、党员大会、村民小组党支部主题党日等会议须将学习习近平新时代中国特色社会主义思想、习近平总书记重要讲话和指示批示精神等内容作为“第一议题”学习，村党总支书记需提前规划季度学习计划，详列内容、形式及时段，保证会议开场即学，深入领会。二是创新学习形式，提升学习实效。将习近平总书记关于“三农”工作、乡村振兴、基层治理等重要论述作为重点学习内容，及时通过党员大会、村民小组党支部主题党日传达学习。三是强化监督考核，压实主体责任。明确村党总支书记为“第一议题”制度落实第一责任人，支委成员分工包片督促村民小组党支部开展学习。</w:t>
            </w:r>
          </w:p>
        </w:tc>
        <w:tc>
          <w:tcPr>
            <w:tcW w:w="1728" w:type="dxa"/>
            <w:noWrap w:val="0"/>
            <w:vAlign w:val="center"/>
          </w:tcPr>
          <w:p w14:paraId="587EB5D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25D74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jc w:val="center"/>
        </w:trPr>
        <w:tc>
          <w:tcPr>
            <w:tcW w:w="1520" w:type="dxa"/>
            <w:noWrap w:val="0"/>
            <w:vAlign w:val="center"/>
          </w:tcPr>
          <w:p w14:paraId="63AE628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3</w:t>
            </w:r>
          </w:p>
        </w:tc>
        <w:tc>
          <w:tcPr>
            <w:tcW w:w="2670" w:type="dxa"/>
            <w:vMerge w:val="continue"/>
            <w:noWrap w:val="0"/>
            <w:vAlign w:val="center"/>
          </w:tcPr>
          <w:p w14:paraId="0553F0B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p>
        </w:tc>
        <w:tc>
          <w:tcPr>
            <w:tcW w:w="2700" w:type="dxa"/>
            <w:noWrap w:val="0"/>
            <w:vAlign w:val="center"/>
          </w:tcPr>
          <w:p w14:paraId="566FD89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3.</w:t>
            </w:r>
            <w:r>
              <w:rPr>
                <w:rFonts w:hint="eastAsia" w:eastAsia="方正仿宋简体" w:cs="（使用中文字体）"/>
                <w:b w:val="0"/>
                <w:bCs w:val="0"/>
                <w:color w:val="auto"/>
                <w:spacing w:val="6"/>
                <w:sz w:val="21"/>
                <w:szCs w:val="21"/>
                <w:highlight w:val="none"/>
                <w:u w:val="none" w:color="auto"/>
                <w:vertAlign w:val="baseline"/>
                <w:lang w:val="en-US" w:eastAsia="zh-CN"/>
              </w:rPr>
              <w:t>抓好</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宣传氛围，宣传栏利用充分、合理。</w:t>
            </w:r>
          </w:p>
        </w:tc>
        <w:tc>
          <w:tcPr>
            <w:tcW w:w="6465" w:type="dxa"/>
            <w:noWrap w:val="0"/>
            <w:vAlign w:val="center"/>
          </w:tcPr>
          <w:p w14:paraId="2029901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指派副书记负责收集、整理党的二十大精神及乡村振兴等政策要点，结合芒糯村实际情况，于10月10日完成制作宣传展板及宣传材料粘贴，重点展示党的二十大精神和乡村振兴工作相关内容。二是指定副书记负责日常维护工作，不定期评估宣传内容质量及利用率，结合时令将地质灾害、地震应急、食品安全、产业发展等内容，及时填补空白宣传栏并更新过时信息。</w:t>
            </w:r>
          </w:p>
        </w:tc>
        <w:tc>
          <w:tcPr>
            <w:tcW w:w="1728" w:type="dxa"/>
            <w:noWrap w:val="0"/>
            <w:vAlign w:val="center"/>
          </w:tcPr>
          <w:p w14:paraId="47831B9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083C5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5" w:hRule="atLeast"/>
          <w:jc w:val="center"/>
        </w:trPr>
        <w:tc>
          <w:tcPr>
            <w:tcW w:w="1520" w:type="dxa"/>
            <w:noWrap w:val="0"/>
            <w:vAlign w:val="center"/>
          </w:tcPr>
          <w:p w14:paraId="5E27AFA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4</w:t>
            </w:r>
          </w:p>
        </w:tc>
        <w:tc>
          <w:tcPr>
            <w:tcW w:w="2670" w:type="dxa"/>
            <w:vMerge w:val="restart"/>
            <w:noWrap w:val="0"/>
            <w:vAlign w:val="center"/>
          </w:tcPr>
          <w:p w14:paraId="5E7D771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lang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三、</w:t>
            </w:r>
            <w:r>
              <w:rPr>
                <w:rFonts w:hint="eastAsia" w:eastAsia="方正仿宋简体" w:cs="（使用中文字体）"/>
                <w:b w:val="0"/>
                <w:bCs w:val="0"/>
                <w:color w:val="auto"/>
                <w:spacing w:val="6"/>
                <w:sz w:val="21"/>
                <w:szCs w:val="21"/>
                <w:highlight w:val="none"/>
                <w:u w:val="none" w:color="auto"/>
                <w:vertAlign w:val="baseline"/>
                <w:lang w:eastAsia="zh-CN"/>
              </w:rPr>
              <w:t>关于</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落实防返贫动态监测工作不到位、台账资料不规范</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700" w:type="dxa"/>
            <w:noWrap w:val="0"/>
            <w:vAlign w:val="center"/>
          </w:tcPr>
          <w:p w14:paraId="6C78838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r>
              <w:rPr>
                <w:rFonts w:hint="eastAsia" w:eastAsia="方正仿宋简体" w:cs="（使用中文字体）"/>
                <w:b w:val="0"/>
                <w:bCs w:val="0"/>
                <w:color w:val="auto"/>
                <w:spacing w:val="6"/>
                <w:sz w:val="21"/>
                <w:szCs w:val="21"/>
                <w:highlight w:val="none"/>
                <w:u w:val="none" w:color="auto"/>
                <w:vertAlign w:val="baseline"/>
                <w:lang w:val="en-US" w:eastAsia="zh-CN"/>
              </w:rPr>
              <w:t>不断规范</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相关评议会议记录。</w:t>
            </w:r>
          </w:p>
        </w:tc>
        <w:tc>
          <w:tcPr>
            <w:tcW w:w="6465" w:type="dxa"/>
            <w:noWrap w:val="0"/>
            <w:vAlign w:val="center"/>
          </w:tcPr>
          <w:p w14:paraId="31ABB3C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2023年每月党员与户主评议会议记录表中，“参加评议户主”一栏只填写被评议对象的户主名字的情况，已按要求完善村民小组参会党员及户主签名材料；二是对共用签到表、会议照片的情况，已按要求对涉及的村民小组重新补充真实的会议照片和签到表。三是2023年10月综合研判分析会的会议记录中出现多依树村党总支副书记的名字的情况，已按要求全面整改补齐规范档案资料，对2023年以来的防返贫动态监测档案进行核查，重新梳理对应会议的原始记录，确保内容正确，记录一致；四是强化动态监测工作规范学习，利用周例会、党员大会、村组干部会议等方式组织村“两委”成员、小组长、驻村工作队开展业务学习，强化对会议组织、记录规范、档案归档等方面的学习，并在今后严格按照工作指南要求开展防返贫动态监测工作，确保后期无类似问题发生。</w:t>
            </w:r>
          </w:p>
        </w:tc>
        <w:tc>
          <w:tcPr>
            <w:tcW w:w="1728" w:type="dxa"/>
            <w:noWrap w:val="0"/>
            <w:vAlign w:val="center"/>
          </w:tcPr>
          <w:p w14:paraId="6C366CA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0F74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0" w:type="dxa"/>
            <w:noWrap w:val="0"/>
            <w:vAlign w:val="center"/>
          </w:tcPr>
          <w:p w14:paraId="6A0C385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5</w:t>
            </w:r>
          </w:p>
        </w:tc>
        <w:tc>
          <w:tcPr>
            <w:tcW w:w="2670" w:type="dxa"/>
            <w:vMerge w:val="continue"/>
            <w:noWrap w:val="0"/>
            <w:vAlign w:val="center"/>
          </w:tcPr>
          <w:p w14:paraId="3C5A503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p>
        </w:tc>
        <w:tc>
          <w:tcPr>
            <w:tcW w:w="2700" w:type="dxa"/>
            <w:noWrap w:val="0"/>
            <w:vAlign w:val="center"/>
          </w:tcPr>
          <w:p w14:paraId="5409ECC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eastAsia" w:eastAsia="方正仿宋简体" w:cs="（使用中文字体）"/>
                <w:b w:val="0"/>
                <w:bCs w:val="0"/>
                <w:color w:val="auto"/>
                <w:spacing w:val="6"/>
                <w:sz w:val="21"/>
                <w:szCs w:val="21"/>
                <w:highlight w:val="none"/>
                <w:u w:val="none" w:color="auto"/>
                <w:vertAlign w:val="baseline"/>
                <w:lang w:val="en-US" w:eastAsia="zh-CN"/>
              </w:rPr>
              <w:t>2</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r>
              <w:rPr>
                <w:rFonts w:hint="eastAsia" w:eastAsia="方正仿宋简体" w:cs="（使用中文字体）"/>
                <w:b w:val="0"/>
                <w:bCs w:val="0"/>
                <w:color w:val="auto"/>
                <w:spacing w:val="6"/>
                <w:sz w:val="21"/>
                <w:szCs w:val="21"/>
                <w:highlight w:val="none"/>
                <w:u w:val="none" w:color="auto"/>
                <w:vertAlign w:val="baseline"/>
                <w:lang w:val="en-US" w:eastAsia="zh-CN"/>
              </w:rPr>
              <w:t>抓实</w:t>
            </w:r>
            <w:r>
              <w:rPr>
                <w:rFonts w:hint="default" w:ascii="Times New Roman" w:hAnsi="Times New Roman" w:eastAsia="方正仿宋简体" w:cs="（使用中文字体）"/>
                <w:b w:val="0"/>
                <w:bCs w:val="0"/>
                <w:color w:val="auto"/>
                <w:spacing w:val="6"/>
                <w:sz w:val="21"/>
                <w:szCs w:val="21"/>
                <w:highlight w:val="none"/>
                <w:u w:val="none" w:color="auto"/>
                <w:vertAlign w:val="baseline"/>
              </w:rPr>
              <w:t>防返贫动态监测</w:t>
            </w:r>
            <w:r>
              <w:rPr>
                <w:rFonts w:hint="eastAsia" w:eastAsia="方正仿宋简体" w:cs="（使用中文字体）"/>
                <w:b w:val="0"/>
                <w:bCs w:val="0"/>
                <w:color w:val="auto"/>
                <w:spacing w:val="6"/>
                <w:sz w:val="21"/>
                <w:szCs w:val="21"/>
                <w:highlight w:val="none"/>
                <w:u w:val="none" w:color="auto"/>
                <w:vertAlign w:val="baseline"/>
                <w:lang w:eastAsia="zh-CN"/>
              </w:rPr>
              <w:t>相关工作整改</w:t>
            </w:r>
            <w:r>
              <w:rPr>
                <w:rFonts w:hint="default" w:ascii="Times New Roman" w:hAnsi="Times New Roman" w:eastAsia="方正仿宋简体" w:cs="（使用中文字体）"/>
                <w:b w:val="0"/>
                <w:bCs w:val="0"/>
                <w:color w:val="auto"/>
                <w:spacing w:val="6"/>
                <w:sz w:val="21"/>
                <w:szCs w:val="21"/>
                <w:highlight w:val="none"/>
                <w:u w:val="none" w:color="auto"/>
                <w:vertAlign w:val="baseline"/>
              </w:rPr>
              <w:t>。</w:t>
            </w:r>
          </w:p>
        </w:tc>
        <w:tc>
          <w:tcPr>
            <w:tcW w:w="6465" w:type="dxa"/>
            <w:noWrap w:val="0"/>
            <w:vAlign w:val="center"/>
          </w:tcPr>
          <w:p w14:paraId="50D52C9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调取2024年5月监测对象原始评议记录、公示底稿、帮扶措施清单，核查“1户4人”风险消除的依据材料。二是进行双重确认并纠正错误，修正台账记录，并将修正后的村“两委”监测对象动态监测拟定结果同步更新到公示栏及电子档案，确保公示内容与附件内容一致。</w:t>
            </w:r>
          </w:p>
        </w:tc>
        <w:tc>
          <w:tcPr>
            <w:tcW w:w="1728" w:type="dxa"/>
            <w:noWrap w:val="0"/>
            <w:vAlign w:val="center"/>
          </w:tcPr>
          <w:p w14:paraId="4CA6172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73E63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0" w:type="dxa"/>
            <w:noWrap w:val="0"/>
            <w:vAlign w:val="center"/>
          </w:tcPr>
          <w:p w14:paraId="05AB35C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6</w:t>
            </w:r>
          </w:p>
        </w:tc>
        <w:tc>
          <w:tcPr>
            <w:tcW w:w="2670" w:type="dxa"/>
            <w:noWrap w:val="0"/>
            <w:vAlign w:val="center"/>
          </w:tcPr>
          <w:p w14:paraId="7A428BE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四、</w:t>
            </w:r>
            <w:r>
              <w:rPr>
                <w:rFonts w:hint="eastAsia" w:eastAsia="方正仿宋简体" w:cs="（使用中文字体）"/>
                <w:b w:val="0"/>
                <w:bCs w:val="0"/>
                <w:color w:val="auto"/>
                <w:spacing w:val="6"/>
                <w:sz w:val="21"/>
                <w:szCs w:val="21"/>
                <w:highlight w:val="none"/>
                <w:u w:val="none" w:color="auto"/>
                <w:vertAlign w:val="baseline"/>
                <w:lang w:eastAsia="zh-CN"/>
              </w:rPr>
              <w:t>关于</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抓控辍保学工作压得不实</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700" w:type="dxa"/>
            <w:noWrap w:val="0"/>
            <w:vAlign w:val="center"/>
          </w:tcPr>
          <w:p w14:paraId="3112544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.抓</w:t>
            </w:r>
            <w:r>
              <w:rPr>
                <w:rFonts w:hint="eastAsia" w:eastAsia="方正仿宋简体" w:cs="（使用中文字体）"/>
                <w:b w:val="0"/>
                <w:bCs w:val="0"/>
                <w:color w:val="auto"/>
                <w:spacing w:val="6"/>
                <w:sz w:val="21"/>
                <w:szCs w:val="21"/>
                <w:highlight w:val="none"/>
                <w:u w:val="none" w:color="auto"/>
                <w:vertAlign w:val="baseline"/>
                <w:lang w:val="en-US" w:eastAsia="zh-CN"/>
              </w:rPr>
              <w:t>好</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控辍保学工作。</w:t>
            </w:r>
          </w:p>
        </w:tc>
        <w:tc>
          <w:tcPr>
            <w:tcW w:w="6465" w:type="dxa"/>
            <w:noWrap w:val="0"/>
            <w:vAlign w:val="center"/>
          </w:tcPr>
          <w:p w14:paraId="29B9858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立即组织村干部、驻村工作队员、网格员逐户排查9名学生的厌学原因，并建立详细台账。同时，联合学校为每位学生制定个性化方案，对厌学的学生安排志愿者进行辅导，对家庭困难的学生落实相应的帮扶政策，9月开学时已全部劝返复学，其中，3人送往阳光学校集训班。二是通过微信群、村民小组会议宣传《中华人民共和国义务教育法》，组织挂组人员和村民小组长入户开展劝学家访。建立家校每周联系机制，定期向家长通报学生在校情况，共同营造重视教育的良好村风民风，确保不再出现其它的厌学、逃学情况。</w:t>
            </w:r>
          </w:p>
        </w:tc>
        <w:tc>
          <w:tcPr>
            <w:tcW w:w="1728" w:type="dxa"/>
            <w:noWrap w:val="0"/>
            <w:vAlign w:val="center"/>
          </w:tcPr>
          <w:p w14:paraId="4F6AF3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5A715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0" w:type="dxa"/>
            <w:noWrap w:val="0"/>
            <w:vAlign w:val="center"/>
          </w:tcPr>
          <w:p w14:paraId="01071FA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7</w:t>
            </w:r>
          </w:p>
        </w:tc>
        <w:tc>
          <w:tcPr>
            <w:tcW w:w="2670" w:type="dxa"/>
            <w:vMerge w:val="restart"/>
            <w:noWrap w:val="0"/>
            <w:vAlign w:val="center"/>
          </w:tcPr>
          <w:p w14:paraId="5863DD3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五、</w:t>
            </w:r>
            <w:r>
              <w:rPr>
                <w:rFonts w:hint="eastAsia" w:eastAsia="方正仿宋简体" w:cs="（使用中文字体）"/>
                <w:b w:val="0"/>
                <w:bCs w:val="0"/>
                <w:color w:val="auto"/>
                <w:spacing w:val="6"/>
                <w:sz w:val="21"/>
                <w:szCs w:val="21"/>
                <w:highlight w:val="none"/>
                <w:u w:val="none" w:color="auto"/>
                <w:vertAlign w:val="baseline"/>
                <w:lang w:eastAsia="zh-CN"/>
              </w:rPr>
              <w:t>关于</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对村组活动场所的“建、管、用”不到位</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700" w:type="dxa"/>
            <w:noWrap w:val="0"/>
            <w:vAlign w:val="center"/>
          </w:tcPr>
          <w:p w14:paraId="41E3797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r>
              <w:rPr>
                <w:rFonts w:hint="eastAsia" w:eastAsia="方正仿宋简体" w:cs="（使用中文字体）"/>
                <w:b w:val="0"/>
                <w:bCs w:val="0"/>
                <w:color w:val="auto"/>
                <w:spacing w:val="6"/>
                <w:sz w:val="21"/>
                <w:szCs w:val="21"/>
                <w:highlight w:val="none"/>
                <w:u w:val="none" w:color="auto"/>
                <w:vertAlign w:val="baseline"/>
                <w:lang w:val="en-US" w:eastAsia="zh-CN"/>
              </w:rPr>
              <w:t>压实责任，不断推进</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对村组活动场所的“建、管、用”。</w:t>
            </w:r>
          </w:p>
        </w:tc>
        <w:tc>
          <w:tcPr>
            <w:tcW w:w="6465" w:type="dxa"/>
            <w:noWrap w:val="0"/>
            <w:vAlign w:val="center"/>
          </w:tcPr>
          <w:p w14:paraId="7CF7C9E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已清理无效标牌，摘除无实质功能的牌子，如客运公示牌、过期村规民约。并统一规范悬挂标准，统一更换新版的《村规民约》。</w:t>
            </w:r>
          </w:p>
        </w:tc>
        <w:tc>
          <w:tcPr>
            <w:tcW w:w="1728" w:type="dxa"/>
            <w:noWrap w:val="0"/>
            <w:vAlign w:val="center"/>
          </w:tcPr>
          <w:p w14:paraId="7C63849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2CF3C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0" w:type="dxa"/>
            <w:noWrap w:val="0"/>
            <w:vAlign w:val="center"/>
          </w:tcPr>
          <w:p w14:paraId="27F212C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8</w:t>
            </w:r>
          </w:p>
        </w:tc>
        <w:tc>
          <w:tcPr>
            <w:tcW w:w="2670" w:type="dxa"/>
            <w:vMerge w:val="continue"/>
            <w:noWrap w:val="0"/>
            <w:vAlign w:val="center"/>
          </w:tcPr>
          <w:p w14:paraId="0B94E28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2700" w:type="dxa"/>
            <w:noWrap w:val="0"/>
            <w:vAlign w:val="center"/>
          </w:tcPr>
          <w:p w14:paraId="707FFF9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2</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r>
              <w:rPr>
                <w:rFonts w:hint="eastAsia" w:eastAsia="方正仿宋简体" w:cs="（使用中文字体）"/>
                <w:b w:val="0"/>
                <w:bCs w:val="0"/>
                <w:color w:val="auto"/>
                <w:spacing w:val="6"/>
                <w:sz w:val="21"/>
                <w:szCs w:val="21"/>
                <w:highlight w:val="none"/>
                <w:u w:val="none" w:color="auto"/>
                <w:vertAlign w:val="baseline"/>
                <w:lang w:val="en-US" w:eastAsia="zh-CN"/>
              </w:rPr>
              <w:t>提高政治站位，不断推进</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村组活动场所的“建、管、用”。</w:t>
            </w:r>
          </w:p>
        </w:tc>
        <w:tc>
          <w:tcPr>
            <w:tcW w:w="6465" w:type="dxa"/>
            <w:noWrap w:val="0"/>
            <w:vAlign w:val="center"/>
          </w:tcPr>
          <w:p w14:paraId="5BFFA53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大寨活动室修缮项目已纳入移民后补资金项目</w:t>
            </w:r>
            <w:r>
              <w:rPr>
                <w:rFonts w:hint="eastAsia" w:eastAsia="方正仿宋简体" w:cs="（使用中文字体）"/>
                <w:b w:val="0"/>
                <w:bCs w:val="0"/>
                <w:color w:val="auto"/>
                <w:spacing w:val="6"/>
                <w:sz w:val="21"/>
                <w:szCs w:val="21"/>
                <w:highlight w:val="none"/>
                <w:u w:val="none" w:color="auto"/>
                <w:vertAlign w:val="baseline"/>
                <w:lang w:val="en-US" w:eastAsia="zh-CN"/>
              </w:rPr>
              <w:t>，</w:t>
            </w:r>
            <w:r>
              <w:rPr>
                <w:rFonts w:hint="default" w:ascii="Times New Roman" w:hAnsi="Times New Roman" w:eastAsia="方正仿宋简体" w:cs="（使用中文字体）"/>
                <w:b w:val="0"/>
                <w:bCs w:val="0"/>
                <w:color w:val="auto"/>
                <w:spacing w:val="6"/>
                <w:sz w:val="21"/>
                <w:szCs w:val="21"/>
                <w:highlight w:val="none"/>
                <w:u w:val="none" w:color="auto"/>
                <w:vertAlign w:val="baseline"/>
              </w:rPr>
              <w:t>大沟角组、大寨组活动室房顶、门窗和天花板破损</w:t>
            </w:r>
            <w:r>
              <w:rPr>
                <w:rFonts w:hint="eastAsia" w:eastAsia="方正仿宋简体" w:cs="（使用中文字体）"/>
                <w:b w:val="0"/>
                <w:bCs w:val="0"/>
                <w:color w:val="auto"/>
                <w:spacing w:val="6"/>
                <w:sz w:val="21"/>
                <w:szCs w:val="21"/>
                <w:highlight w:val="none"/>
                <w:u w:val="none" w:color="auto"/>
                <w:vertAlign w:val="baseline"/>
                <w:lang w:eastAsia="zh-CN"/>
              </w:rPr>
              <w:t>问题正在持续推进整改中</w:t>
            </w:r>
            <w:r>
              <w:rPr>
                <w:rFonts w:hint="default" w:ascii="Times New Roman" w:hAnsi="Times New Roman" w:eastAsia="方正仿宋简体" w:cs="（使用中文字体）"/>
                <w:b w:val="0"/>
                <w:bCs w:val="0"/>
                <w:color w:val="auto"/>
                <w:spacing w:val="6"/>
                <w:sz w:val="21"/>
                <w:szCs w:val="21"/>
                <w:highlight w:val="none"/>
                <w:u w:val="none" w:color="auto"/>
                <w:vertAlign w:val="baseline"/>
              </w:rPr>
              <w:t>。</w:t>
            </w:r>
          </w:p>
        </w:tc>
        <w:tc>
          <w:tcPr>
            <w:tcW w:w="1728" w:type="dxa"/>
            <w:noWrap w:val="0"/>
            <w:vAlign w:val="center"/>
          </w:tcPr>
          <w:p w14:paraId="2C44E00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0865A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0" w:type="dxa"/>
            <w:noWrap w:val="0"/>
            <w:vAlign w:val="center"/>
          </w:tcPr>
          <w:p w14:paraId="655ED27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9</w:t>
            </w:r>
          </w:p>
        </w:tc>
        <w:tc>
          <w:tcPr>
            <w:tcW w:w="2670" w:type="dxa"/>
            <w:noWrap w:val="0"/>
            <w:vAlign w:val="center"/>
          </w:tcPr>
          <w:p w14:paraId="236D9A8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六、</w:t>
            </w:r>
            <w:r>
              <w:rPr>
                <w:rFonts w:hint="eastAsia" w:eastAsia="方正仿宋简体" w:cs="（使用中文字体）"/>
                <w:b w:val="0"/>
                <w:bCs w:val="0"/>
                <w:color w:val="auto"/>
                <w:spacing w:val="6"/>
                <w:sz w:val="21"/>
                <w:szCs w:val="21"/>
                <w:highlight w:val="none"/>
                <w:u w:val="none" w:color="auto"/>
                <w:vertAlign w:val="baseline"/>
                <w:lang w:eastAsia="zh-CN"/>
              </w:rPr>
              <w:t>关于</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党总支发挥作用不到位，制定村规民约操作性不强</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700" w:type="dxa"/>
            <w:noWrap w:val="0"/>
            <w:vAlign w:val="center"/>
          </w:tcPr>
          <w:p w14:paraId="16BB3FF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eastAsia" w:eastAsia="方正仿宋简体" w:cs="（使用中文字体）"/>
                <w:b w:val="0"/>
                <w:bCs w:val="0"/>
                <w:color w:val="auto"/>
                <w:spacing w:val="6"/>
                <w:sz w:val="21"/>
                <w:szCs w:val="21"/>
                <w:highlight w:val="none"/>
                <w:u w:val="none" w:color="auto"/>
                <w:vertAlign w:val="baseline"/>
                <w:lang w:val="en-US" w:eastAsia="zh-CN"/>
              </w:rPr>
              <w:t>1</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发挥</w:t>
            </w:r>
            <w:r>
              <w:rPr>
                <w:rFonts w:hint="eastAsia" w:eastAsia="方正仿宋简体" w:cs="（使用中文字体）"/>
                <w:b w:val="0"/>
                <w:bCs w:val="0"/>
                <w:color w:val="auto"/>
                <w:spacing w:val="6"/>
                <w:sz w:val="21"/>
                <w:szCs w:val="21"/>
                <w:highlight w:val="none"/>
                <w:u w:val="none" w:color="auto"/>
                <w:vertAlign w:val="baseline"/>
                <w:lang w:eastAsia="zh-CN"/>
              </w:rPr>
              <w:t>好</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党总支作用，</w:t>
            </w:r>
            <w:r>
              <w:rPr>
                <w:rFonts w:hint="eastAsia" w:eastAsia="方正仿宋简体" w:cs="（使用中文字体）"/>
                <w:b w:val="0"/>
                <w:bCs w:val="0"/>
                <w:color w:val="auto"/>
                <w:spacing w:val="6"/>
                <w:sz w:val="21"/>
                <w:szCs w:val="21"/>
                <w:highlight w:val="none"/>
                <w:u w:val="none" w:color="auto"/>
                <w:vertAlign w:val="baseline"/>
                <w:lang w:eastAsia="zh-CN"/>
              </w:rPr>
              <w:t>完善</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村规民约</w:t>
            </w:r>
            <w:r>
              <w:rPr>
                <w:rFonts w:hint="eastAsia" w:eastAsia="方正仿宋简体" w:cs="（使用中文字体）"/>
                <w:b w:val="0"/>
                <w:bCs w:val="0"/>
                <w:color w:val="auto"/>
                <w:spacing w:val="6"/>
                <w:sz w:val="21"/>
                <w:szCs w:val="21"/>
                <w:highlight w:val="none"/>
                <w:u w:val="none" w:color="auto"/>
                <w:vertAlign w:val="baseline"/>
                <w:lang w:eastAsia="zh-CN"/>
              </w:rPr>
              <w:t>内容</w:t>
            </w:r>
            <w:r>
              <w:rPr>
                <w:rFonts w:hint="default" w:ascii="Times New Roman" w:hAnsi="Times New Roman" w:eastAsia="方正仿宋简体" w:cs="（使用中文字体）"/>
                <w:b w:val="0"/>
                <w:bCs w:val="0"/>
                <w:color w:val="auto"/>
                <w:spacing w:val="6"/>
                <w:sz w:val="21"/>
                <w:szCs w:val="21"/>
                <w:highlight w:val="none"/>
                <w:u w:val="none" w:color="auto"/>
                <w:vertAlign w:val="baseline"/>
              </w:rPr>
              <w:t>。</w:t>
            </w:r>
          </w:p>
        </w:tc>
        <w:tc>
          <w:tcPr>
            <w:tcW w:w="6465" w:type="dxa"/>
            <w:noWrap w:val="0"/>
            <w:vAlign w:val="center"/>
          </w:tcPr>
          <w:p w14:paraId="78DAE12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由村党总支组建村规民约修订小组，全面梳理并优化现有内容，针对缺失问题广泛征求村民意见，补充日常行为规范、环境卫生要求等，并增加计划生育、殡葬管理条款；二是邀请乡人大、法律顾问提供专业指导，对修订后的村规民约进行评估，精确定位并改进不足。</w:t>
            </w:r>
          </w:p>
        </w:tc>
        <w:tc>
          <w:tcPr>
            <w:tcW w:w="1728" w:type="dxa"/>
            <w:noWrap w:val="0"/>
            <w:vAlign w:val="center"/>
          </w:tcPr>
          <w:p w14:paraId="24DF0CB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4792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0" w:type="dxa"/>
            <w:noWrap w:val="0"/>
            <w:vAlign w:val="center"/>
          </w:tcPr>
          <w:p w14:paraId="661742E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10</w:t>
            </w:r>
          </w:p>
        </w:tc>
        <w:tc>
          <w:tcPr>
            <w:tcW w:w="2670" w:type="dxa"/>
            <w:noWrap w:val="0"/>
            <w:vAlign w:val="center"/>
          </w:tcPr>
          <w:p w14:paraId="5AAFA15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七、</w:t>
            </w:r>
            <w:r>
              <w:rPr>
                <w:rFonts w:hint="eastAsia" w:eastAsia="方正仿宋简体" w:cs="（使用中文字体）"/>
                <w:b w:val="0"/>
                <w:bCs w:val="0"/>
                <w:color w:val="auto"/>
                <w:spacing w:val="6"/>
                <w:sz w:val="21"/>
                <w:szCs w:val="21"/>
                <w:highlight w:val="none"/>
                <w:u w:val="none" w:color="auto"/>
                <w:vertAlign w:val="baseline"/>
                <w:lang w:eastAsia="zh-CN"/>
              </w:rPr>
              <w:t>关于</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落实禁毒宣传教育和防范工作不到位</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700" w:type="dxa"/>
            <w:noWrap w:val="0"/>
            <w:vAlign w:val="center"/>
          </w:tcPr>
          <w:p w14:paraId="166AE82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落实</w:t>
            </w:r>
            <w:r>
              <w:rPr>
                <w:rFonts w:hint="eastAsia" w:eastAsia="方正仿宋简体" w:cs="（使用中文字体）"/>
                <w:b w:val="0"/>
                <w:bCs w:val="0"/>
                <w:color w:val="auto"/>
                <w:spacing w:val="6"/>
                <w:sz w:val="21"/>
                <w:szCs w:val="21"/>
                <w:highlight w:val="none"/>
                <w:u w:val="none" w:color="auto"/>
                <w:vertAlign w:val="baseline"/>
                <w:lang w:eastAsia="zh-CN"/>
              </w:rPr>
              <w:t>好</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禁毒宣传教育和防范工作</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p>
        </w:tc>
        <w:tc>
          <w:tcPr>
            <w:tcW w:w="6465" w:type="dxa"/>
            <w:noWrap w:val="0"/>
            <w:vAlign w:val="center"/>
          </w:tcPr>
          <w:p w14:paraId="53D4D52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eastAsia" w:eastAsia="方正仿宋简体" w:cs="（使用中文字体）"/>
                <w:b w:val="0"/>
                <w:bCs w:val="0"/>
                <w:color w:val="auto"/>
                <w:spacing w:val="6"/>
                <w:sz w:val="21"/>
                <w:szCs w:val="21"/>
                <w:highlight w:val="none"/>
                <w:u w:val="none" w:color="auto"/>
                <w:vertAlign w:val="baseline"/>
                <w:lang w:eastAsia="zh-CN"/>
              </w:rPr>
              <w:t>针对</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禁毒宣传教育和防范工作不到位</w:t>
            </w:r>
            <w:r>
              <w:rPr>
                <w:rFonts w:hint="eastAsia" w:eastAsia="方正仿宋简体" w:cs="（使用中文字体）"/>
                <w:b w:val="0"/>
                <w:bCs w:val="0"/>
                <w:color w:val="auto"/>
                <w:spacing w:val="6"/>
                <w:sz w:val="21"/>
                <w:szCs w:val="21"/>
                <w:highlight w:val="none"/>
                <w:u w:val="none" w:color="auto"/>
                <w:vertAlign w:val="baseline"/>
                <w:lang w:eastAsia="zh-CN"/>
              </w:rPr>
              <w:t>的问题，芒糯村积极与乡派出所、司法所等部门对接，对禁毒工作进行深入指导，并就禁毒工作在全村开展宣传，并专人负责相关材料整理收集。</w:t>
            </w:r>
          </w:p>
        </w:tc>
        <w:tc>
          <w:tcPr>
            <w:tcW w:w="1728" w:type="dxa"/>
            <w:noWrap w:val="0"/>
            <w:vAlign w:val="center"/>
          </w:tcPr>
          <w:p w14:paraId="40BE0C6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16B8A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0" w:type="dxa"/>
            <w:noWrap w:val="0"/>
            <w:vAlign w:val="center"/>
          </w:tcPr>
          <w:p w14:paraId="0C31A50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11</w:t>
            </w:r>
          </w:p>
        </w:tc>
        <w:tc>
          <w:tcPr>
            <w:tcW w:w="2670" w:type="dxa"/>
            <w:vMerge w:val="restart"/>
            <w:noWrap w:val="0"/>
            <w:vAlign w:val="center"/>
          </w:tcPr>
          <w:p w14:paraId="3AA29ED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八、</w:t>
            </w:r>
            <w:r>
              <w:rPr>
                <w:rFonts w:hint="eastAsia" w:eastAsia="方正仿宋简体" w:cs="（使用中文字体）"/>
                <w:b w:val="0"/>
                <w:bCs w:val="0"/>
                <w:color w:val="auto"/>
                <w:spacing w:val="6"/>
                <w:sz w:val="21"/>
                <w:szCs w:val="21"/>
                <w:highlight w:val="none"/>
                <w:u w:val="none" w:color="auto"/>
                <w:vertAlign w:val="baseline"/>
                <w:lang w:eastAsia="zh-CN"/>
              </w:rPr>
              <w:t>关于</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对意识形态工作重视不够</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700" w:type="dxa"/>
            <w:noWrap w:val="0"/>
            <w:vAlign w:val="center"/>
          </w:tcPr>
          <w:p w14:paraId="08B272D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w:t>
            </w:r>
            <w:r>
              <w:rPr>
                <w:rFonts w:hint="eastAsia" w:eastAsia="方正仿宋简体" w:cs="（使用中文字体）"/>
                <w:b w:val="0"/>
                <w:bCs w:val="0"/>
                <w:color w:val="auto"/>
                <w:spacing w:val="6"/>
                <w:sz w:val="21"/>
                <w:szCs w:val="21"/>
                <w:highlight w:val="none"/>
                <w:u w:val="none" w:color="auto"/>
                <w:vertAlign w:val="baseline"/>
                <w:lang w:val="en-US" w:eastAsia="zh-CN"/>
              </w:rPr>
              <w:t>加强</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信息公开更新</w:t>
            </w:r>
            <w:r>
              <w:rPr>
                <w:rFonts w:hint="eastAsia" w:eastAsia="方正仿宋简体" w:cs="（使用中文字体）"/>
                <w:b w:val="0"/>
                <w:bCs w:val="0"/>
                <w:color w:val="auto"/>
                <w:spacing w:val="6"/>
                <w:sz w:val="21"/>
                <w:szCs w:val="21"/>
                <w:highlight w:val="none"/>
                <w:u w:val="none" w:color="auto"/>
                <w:vertAlign w:val="baseline"/>
                <w:lang w:val="en-US" w:eastAsia="zh-CN"/>
              </w:rPr>
              <w:t>管理</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p>
        </w:tc>
        <w:tc>
          <w:tcPr>
            <w:tcW w:w="6465" w:type="dxa"/>
            <w:noWrap w:val="0"/>
            <w:vAlign w:val="center"/>
          </w:tcPr>
          <w:p w14:paraId="2A92993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及时更新组织架构信息。由村委会牵头，采集更新村“两委”班子成员信息，并于10月10日完成新展板的制作与更换工作。二是建立动态更新机制，指定村副主任不定期对公示内容进行核查，对机构内人员调整，职责变动等情况进行及时更新，确保信息准确无误，避免使用过时信息。</w:t>
            </w:r>
          </w:p>
        </w:tc>
        <w:tc>
          <w:tcPr>
            <w:tcW w:w="1728" w:type="dxa"/>
            <w:noWrap w:val="0"/>
            <w:vAlign w:val="center"/>
          </w:tcPr>
          <w:p w14:paraId="626FAF3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315F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0" w:type="dxa"/>
            <w:noWrap w:val="0"/>
            <w:vAlign w:val="center"/>
          </w:tcPr>
          <w:p w14:paraId="582F4C7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12</w:t>
            </w:r>
          </w:p>
        </w:tc>
        <w:tc>
          <w:tcPr>
            <w:tcW w:w="2670" w:type="dxa"/>
            <w:vMerge w:val="continue"/>
            <w:noWrap w:val="0"/>
            <w:vAlign w:val="center"/>
          </w:tcPr>
          <w:p w14:paraId="141AF56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2700" w:type="dxa"/>
            <w:noWrap w:val="0"/>
            <w:vAlign w:val="center"/>
          </w:tcPr>
          <w:p w14:paraId="5FC20E3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2</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r>
              <w:rPr>
                <w:rFonts w:hint="eastAsia" w:eastAsia="方正仿宋简体" w:cs="（使用中文字体）"/>
                <w:b w:val="0"/>
                <w:bCs w:val="0"/>
                <w:color w:val="auto"/>
                <w:spacing w:val="6"/>
                <w:sz w:val="21"/>
                <w:szCs w:val="21"/>
                <w:highlight w:val="none"/>
                <w:u w:val="none" w:color="auto"/>
                <w:vertAlign w:val="baseline"/>
                <w:lang w:val="en-US" w:eastAsia="zh-CN"/>
              </w:rPr>
              <w:t>抓好</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脱贫攻坚标语清理</w:t>
            </w:r>
            <w:r>
              <w:rPr>
                <w:rFonts w:hint="eastAsia" w:eastAsia="方正仿宋简体" w:cs="（使用中文字体）"/>
                <w:b w:val="0"/>
                <w:bCs w:val="0"/>
                <w:color w:val="auto"/>
                <w:spacing w:val="6"/>
                <w:sz w:val="21"/>
                <w:szCs w:val="21"/>
                <w:highlight w:val="none"/>
                <w:u w:val="none" w:color="auto"/>
                <w:vertAlign w:val="baseline"/>
                <w:lang w:val="en-US" w:eastAsia="zh-CN"/>
              </w:rPr>
              <w:t>工作</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p>
        </w:tc>
        <w:tc>
          <w:tcPr>
            <w:tcW w:w="6465" w:type="dxa"/>
            <w:noWrap w:val="0"/>
            <w:vAlign w:val="center"/>
          </w:tcPr>
          <w:p w14:paraId="28D0B46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组织乡村干部和驻村工作队，对全村范围实施拉网式细致排查，并对相关标语进行统计，尤其关注芒糯村一组外墙脱贫攻坚宣传标语；二是根据排查情况，组织人员进行全面清理，于7月初彻底清理完毕，同时，建立长效巡查维护机制。</w:t>
            </w:r>
          </w:p>
        </w:tc>
        <w:tc>
          <w:tcPr>
            <w:tcW w:w="1728" w:type="dxa"/>
            <w:noWrap w:val="0"/>
            <w:vAlign w:val="center"/>
          </w:tcPr>
          <w:p w14:paraId="2FDFE7A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67648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jc w:val="center"/>
        </w:trPr>
        <w:tc>
          <w:tcPr>
            <w:tcW w:w="1520" w:type="dxa"/>
            <w:noWrap w:val="0"/>
            <w:vAlign w:val="center"/>
          </w:tcPr>
          <w:p w14:paraId="1BAF3BC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13</w:t>
            </w:r>
          </w:p>
        </w:tc>
        <w:tc>
          <w:tcPr>
            <w:tcW w:w="2670" w:type="dxa"/>
            <w:vMerge w:val="continue"/>
            <w:noWrap w:val="0"/>
            <w:vAlign w:val="center"/>
          </w:tcPr>
          <w:p w14:paraId="4A440FC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2700" w:type="dxa"/>
            <w:noWrap w:val="0"/>
            <w:vAlign w:val="center"/>
          </w:tcPr>
          <w:p w14:paraId="24DC886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3</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r>
              <w:rPr>
                <w:rFonts w:hint="eastAsia" w:eastAsia="方正仿宋简体" w:cs="（使用中文字体）"/>
                <w:b w:val="0"/>
                <w:bCs w:val="0"/>
                <w:color w:val="auto"/>
                <w:spacing w:val="6"/>
                <w:sz w:val="21"/>
                <w:szCs w:val="21"/>
                <w:highlight w:val="none"/>
                <w:u w:val="none" w:color="auto"/>
                <w:vertAlign w:val="baseline"/>
                <w:lang w:val="en-US" w:eastAsia="zh-CN"/>
              </w:rPr>
              <w:t>不断抓实</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意识形态阵地管理。</w:t>
            </w:r>
          </w:p>
        </w:tc>
        <w:tc>
          <w:tcPr>
            <w:tcW w:w="6465" w:type="dxa"/>
            <w:noWrap w:val="0"/>
            <w:vAlign w:val="center"/>
          </w:tcPr>
          <w:p w14:paraId="6397754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安排专人管理应急广播，组织人员对机房进行全面清理和卫生清扫工作，清除杂物，擦拭设备，确保机房整洁有序，严格执行每周清洁制度，持续保持机房整洁有序的良好环境；二是按照机房设备布局和管理要求，重新规整线路布局、物品摆放位置，做到整齐规范、便于查找和使用，定期检查物品摆放情况，对不规范行为及时纠正，确保长期保持良好的摆放秩序，并确立后续定期检查与维护的工作机制。</w:t>
            </w:r>
          </w:p>
        </w:tc>
        <w:tc>
          <w:tcPr>
            <w:tcW w:w="1728" w:type="dxa"/>
            <w:noWrap w:val="0"/>
            <w:vAlign w:val="center"/>
          </w:tcPr>
          <w:p w14:paraId="1C3BD82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73A84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0" w:type="dxa"/>
            <w:noWrap w:val="0"/>
            <w:vAlign w:val="center"/>
          </w:tcPr>
          <w:p w14:paraId="4FCEF41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14</w:t>
            </w:r>
          </w:p>
        </w:tc>
        <w:tc>
          <w:tcPr>
            <w:tcW w:w="2670" w:type="dxa"/>
            <w:noWrap w:val="0"/>
            <w:vAlign w:val="center"/>
          </w:tcPr>
          <w:p w14:paraId="2B331CD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九、</w:t>
            </w:r>
            <w:r>
              <w:rPr>
                <w:rFonts w:hint="eastAsia" w:eastAsia="方正仿宋简体" w:cs="（使用中文字体）"/>
                <w:b w:val="0"/>
                <w:bCs w:val="0"/>
                <w:color w:val="auto"/>
                <w:spacing w:val="6"/>
                <w:sz w:val="21"/>
                <w:szCs w:val="21"/>
                <w:highlight w:val="none"/>
                <w:u w:val="none" w:color="auto"/>
                <w:vertAlign w:val="baseline"/>
                <w:lang w:eastAsia="zh-CN"/>
              </w:rPr>
              <w:t>关于</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落实全面从严治党主体责任不到位</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700" w:type="dxa"/>
            <w:noWrap w:val="0"/>
            <w:vAlign w:val="center"/>
          </w:tcPr>
          <w:p w14:paraId="0BFACFE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落实</w:t>
            </w:r>
            <w:r>
              <w:rPr>
                <w:rFonts w:hint="eastAsia" w:eastAsia="方正仿宋简体" w:cs="（使用中文字体）"/>
                <w:b w:val="0"/>
                <w:bCs w:val="0"/>
                <w:color w:val="auto"/>
                <w:spacing w:val="6"/>
                <w:sz w:val="21"/>
                <w:szCs w:val="21"/>
                <w:highlight w:val="none"/>
                <w:u w:val="none" w:color="auto"/>
                <w:vertAlign w:val="baseline"/>
                <w:lang w:eastAsia="zh-CN"/>
              </w:rPr>
              <w:t>好</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全面从严治党主体责任。</w:t>
            </w:r>
          </w:p>
        </w:tc>
        <w:tc>
          <w:tcPr>
            <w:tcW w:w="6465" w:type="dxa"/>
            <w:noWrap w:val="0"/>
            <w:vAlign w:val="center"/>
          </w:tcPr>
          <w:p w14:paraId="412C464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明确专人负责村“两委”会议记录工作，选用专门会议记录本，总支委员会由副书记记录，村民委员会有副主任记录。记录人员接受相关培训，确保能够详实记录决策的关键要点及完整讨论过程，从而真实反映决策的全面情况。二是建立会议记录审核机制，每次会议结束后，由村“两委”负责人对记录内容进行审核，保证记录准确反映决策过程与结果，方便后续追溯监督。</w:t>
            </w:r>
          </w:p>
        </w:tc>
        <w:tc>
          <w:tcPr>
            <w:tcW w:w="1728" w:type="dxa"/>
            <w:noWrap w:val="0"/>
            <w:vAlign w:val="center"/>
          </w:tcPr>
          <w:p w14:paraId="7E1FE47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2659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0" w:type="dxa"/>
            <w:noWrap w:val="0"/>
            <w:vAlign w:val="center"/>
          </w:tcPr>
          <w:p w14:paraId="31924C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15</w:t>
            </w:r>
          </w:p>
        </w:tc>
        <w:tc>
          <w:tcPr>
            <w:tcW w:w="2670" w:type="dxa"/>
            <w:noWrap w:val="0"/>
            <w:vAlign w:val="center"/>
          </w:tcPr>
          <w:p w14:paraId="17EF5F0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十、</w:t>
            </w:r>
            <w:r>
              <w:rPr>
                <w:rFonts w:hint="eastAsia" w:eastAsia="方正仿宋简体" w:cs="（使用中文字体）"/>
                <w:b w:val="0"/>
                <w:bCs w:val="0"/>
                <w:color w:val="auto"/>
                <w:spacing w:val="6"/>
                <w:sz w:val="21"/>
                <w:szCs w:val="21"/>
                <w:highlight w:val="none"/>
                <w:u w:val="none" w:color="auto"/>
                <w:vertAlign w:val="baseline"/>
                <w:lang w:eastAsia="zh-CN"/>
              </w:rPr>
              <w:t>关于</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对党风廉政建设工作重视不够，敷衍应付</w:t>
            </w:r>
          </w:p>
        </w:tc>
        <w:tc>
          <w:tcPr>
            <w:tcW w:w="2700" w:type="dxa"/>
            <w:noWrap w:val="0"/>
            <w:vAlign w:val="center"/>
          </w:tcPr>
          <w:p w14:paraId="66C0B61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w:t>
            </w:r>
            <w:r>
              <w:rPr>
                <w:rFonts w:hint="eastAsia" w:eastAsia="方正仿宋简体" w:cs="（使用中文字体）"/>
                <w:b w:val="0"/>
                <w:bCs w:val="0"/>
                <w:color w:val="auto"/>
                <w:spacing w:val="6"/>
                <w:sz w:val="21"/>
                <w:szCs w:val="21"/>
                <w:highlight w:val="none"/>
                <w:u w:val="none" w:color="auto"/>
                <w:vertAlign w:val="baseline"/>
                <w:lang w:val="en-US" w:eastAsia="zh-CN"/>
              </w:rPr>
              <w:t>提高思想认识，抓好</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述职述廉报告</w:t>
            </w:r>
            <w:r>
              <w:rPr>
                <w:rFonts w:hint="eastAsia" w:eastAsia="方正仿宋简体" w:cs="（使用中文字体）"/>
                <w:b w:val="0"/>
                <w:bCs w:val="0"/>
                <w:color w:val="auto"/>
                <w:spacing w:val="6"/>
                <w:sz w:val="21"/>
                <w:szCs w:val="21"/>
                <w:highlight w:val="none"/>
                <w:u w:val="none" w:color="auto"/>
                <w:vertAlign w:val="baseline"/>
                <w:lang w:val="en-US" w:eastAsia="zh-CN"/>
              </w:rPr>
              <w:t>工作</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p>
        </w:tc>
        <w:tc>
          <w:tcPr>
            <w:tcW w:w="6465" w:type="dxa"/>
            <w:noWrap w:val="0"/>
            <w:vAlign w:val="center"/>
          </w:tcPr>
          <w:p w14:paraId="117EF83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要求涉嫌抄袭的几位同志重新撰写报告，重点强调述职述廉报告需紧密结合本村实际，通过剖析典型案例明确撰写要求，切实提升村干部对本村情况的分析与思考能力，从根本上杜绝抄袭行为。二是积极选派村干部参加县、乡两级组织的专题培训班，加强个人专业素质和业务水平。三是建立报告审核机制，安排专人对报告进行初审，重点核查内容与本村实际的契合度，不符合要求的打回重写，确保内容真实准确。</w:t>
            </w:r>
          </w:p>
        </w:tc>
        <w:tc>
          <w:tcPr>
            <w:tcW w:w="1728" w:type="dxa"/>
            <w:noWrap w:val="0"/>
            <w:vAlign w:val="center"/>
          </w:tcPr>
          <w:p w14:paraId="3042BCC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003F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0" w:type="dxa"/>
            <w:noWrap w:val="0"/>
            <w:vAlign w:val="center"/>
          </w:tcPr>
          <w:p w14:paraId="72E86D3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16</w:t>
            </w:r>
          </w:p>
        </w:tc>
        <w:tc>
          <w:tcPr>
            <w:tcW w:w="2670" w:type="dxa"/>
            <w:noWrap w:val="0"/>
            <w:vAlign w:val="center"/>
          </w:tcPr>
          <w:p w14:paraId="6FD6DCD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十一、</w:t>
            </w:r>
            <w:r>
              <w:rPr>
                <w:rFonts w:hint="eastAsia" w:eastAsia="方正仿宋简体" w:cs="（使用中文字体）"/>
                <w:b w:val="0"/>
                <w:bCs w:val="0"/>
                <w:color w:val="auto"/>
                <w:spacing w:val="6"/>
                <w:sz w:val="21"/>
                <w:szCs w:val="21"/>
                <w:highlight w:val="none"/>
                <w:u w:val="none" w:color="auto"/>
                <w:vertAlign w:val="baseline"/>
                <w:lang w:eastAsia="zh-CN"/>
              </w:rPr>
              <w:t>关于</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扶贫项目监管和利益链接机制落实不到位</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700" w:type="dxa"/>
            <w:noWrap w:val="0"/>
            <w:vAlign w:val="center"/>
          </w:tcPr>
          <w:p w14:paraId="0326104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w:t>
            </w:r>
            <w:r>
              <w:rPr>
                <w:rFonts w:hint="eastAsia" w:eastAsia="方正仿宋简体" w:cs="（使用中文字体）"/>
                <w:b w:val="0"/>
                <w:bCs w:val="0"/>
                <w:color w:val="auto"/>
                <w:spacing w:val="6"/>
                <w:sz w:val="21"/>
                <w:szCs w:val="21"/>
                <w:highlight w:val="none"/>
                <w:u w:val="none" w:color="auto"/>
                <w:vertAlign w:val="baseline"/>
                <w:lang w:val="en-US" w:eastAsia="zh-CN"/>
              </w:rPr>
              <w:t>加强村集体资金使用管理培训</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p>
        </w:tc>
        <w:tc>
          <w:tcPr>
            <w:tcW w:w="6465" w:type="dxa"/>
            <w:noWrap w:val="0"/>
            <w:vAlign w:val="center"/>
          </w:tcPr>
          <w:p w14:paraId="06EC61A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一是全面清查未入账的项目资金入股及分红情况，并安排专人对接，明确要求企业尽快支付入股分红款，尽快追回</w:t>
            </w:r>
            <w:r>
              <w:rPr>
                <w:rFonts w:hint="eastAsia" w:eastAsia="方正仿宋简体" w:cs="（使用中文字体）"/>
                <w:b w:val="0"/>
                <w:bCs w:val="0"/>
                <w:color w:val="auto"/>
                <w:spacing w:val="6"/>
                <w:sz w:val="21"/>
                <w:szCs w:val="21"/>
                <w:highlight w:val="none"/>
                <w:u w:val="none" w:color="auto"/>
                <w:vertAlign w:val="baseline"/>
                <w:lang w:eastAsia="zh-CN"/>
              </w:rPr>
              <w:t>芒糯村项目资金</w:t>
            </w:r>
            <w:r>
              <w:rPr>
                <w:rFonts w:hint="default" w:ascii="Times New Roman" w:hAnsi="Times New Roman" w:eastAsia="方正仿宋简体" w:cs="（使用中文字体）"/>
                <w:b w:val="0"/>
                <w:bCs w:val="0"/>
                <w:color w:val="auto"/>
                <w:spacing w:val="6"/>
                <w:sz w:val="21"/>
                <w:szCs w:val="21"/>
                <w:highlight w:val="none"/>
                <w:u w:val="none" w:color="auto"/>
                <w:vertAlign w:val="baseline"/>
              </w:rPr>
              <w:t>，确保资金全额入账，对追缴资金困难的企业积极向乡级汇报寻求帮助。二是建立村集体资金入股分红台账，定期与合作方对账，实行分红收益按时公示，强化资金动态监管。三是修订村级财务管理制度，规范入股分红资金核算流程，组织财务人员培训，杜绝类似问题再发生。</w:t>
            </w:r>
          </w:p>
        </w:tc>
        <w:tc>
          <w:tcPr>
            <w:tcW w:w="1728" w:type="dxa"/>
            <w:noWrap w:val="0"/>
            <w:vAlign w:val="center"/>
          </w:tcPr>
          <w:p w14:paraId="669174B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27091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0" w:type="dxa"/>
            <w:noWrap w:val="0"/>
            <w:vAlign w:val="center"/>
          </w:tcPr>
          <w:p w14:paraId="6C27774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17</w:t>
            </w:r>
          </w:p>
        </w:tc>
        <w:tc>
          <w:tcPr>
            <w:tcW w:w="2670" w:type="dxa"/>
            <w:noWrap w:val="0"/>
            <w:vAlign w:val="center"/>
          </w:tcPr>
          <w:p w14:paraId="0689FEF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十二、</w:t>
            </w:r>
            <w:r>
              <w:rPr>
                <w:rFonts w:hint="eastAsia" w:eastAsia="方正仿宋简体" w:cs="（使用中文字体）"/>
                <w:b w:val="0"/>
                <w:bCs w:val="0"/>
                <w:color w:val="auto"/>
                <w:spacing w:val="6"/>
                <w:sz w:val="21"/>
                <w:szCs w:val="21"/>
                <w:highlight w:val="none"/>
                <w:u w:val="none" w:color="auto"/>
                <w:vertAlign w:val="baseline"/>
                <w:lang w:eastAsia="zh-CN"/>
              </w:rPr>
              <w:t>关于</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水费收缴管理不规范，专款不专用和坐收坐支</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700" w:type="dxa"/>
            <w:noWrap w:val="0"/>
            <w:vAlign w:val="center"/>
          </w:tcPr>
          <w:p w14:paraId="661C5E1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w:t>
            </w:r>
            <w:r>
              <w:rPr>
                <w:rFonts w:hint="eastAsia" w:eastAsia="方正仿宋简体" w:cs="（使用中文字体）"/>
                <w:b w:val="0"/>
                <w:bCs w:val="0"/>
                <w:color w:val="auto"/>
                <w:spacing w:val="6"/>
                <w:sz w:val="21"/>
                <w:szCs w:val="21"/>
                <w:highlight w:val="none"/>
                <w:u w:val="none" w:color="auto"/>
                <w:vertAlign w:val="baseline"/>
                <w:lang w:val="en-US" w:eastAsia="zh-CN"/>
              </w:rPr>
              <w:t>规范管理</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水费收缴，</w:t>
            </w:r>
            <w:r>
              <w:rPr>
                <w:rFonts w:hint="eastAsia" w:eastAsia="方正仿宋简体" w:cs="（使用中文字体）"/>
                <w:b w:val="0"/>
                <w:bCs w:val="0"/>
                <w:color w:val="auto"/>
                <w:spacing w:val="6"/>
                <w:sz w:val="21"/>
                <w:szCs w:val="21"/>
                <w:highlight w:val="none"/>
                <w:u w:val="none" w:color="auto"/>
                <w:vertAlign w:val="baseline"/>
                <w:lang w:val="en-US" w:eastAsia="zh-CN"/>
              </w:rPr>
              <w:t>做到</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专款专用。</w:t>
            </w:r>
          </w:p>
        </w:tc>
        <w:tc>
          <w:tcPr>
            <w:tcW w:w="6465" w:type="dxa"/>
            <w:noWrap w:val="0"/>
            <w:vAlign w:val="center"/>
          </w:tcPr>
          <w:p w14:paraId="69ECDEB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一是在全村11个村民小组开展水费收缴情况清查，对各村民小组水费收支明细进行认真梳理核对，确保账目准确；二是严格执行“村财乡管”制度，将收缴</w:t>
            </w:r>
            <w:r>
              <w:rPr>
                <w:rFonts w:hint="eastAsia" w:eastAsia="方正仿宋简体" w:cs="（使用中文字体）"/>
                <w:b w:val="0"/>
                <w:bCs w:val="0"/>
                <w:color w:val="auto"/>
                <w:spacing w:val="6"/>
                <w:sz w:val="21"/>
                <w:szCs w:val="21"/>
                <w:highlight w:val="none"/>
                <w:u w:val="none" w:color="auto"/>
                <w:vertAlign w:val="baseline"/>
                <w:lang w:eastAsia="zh-CN"/>
              </w:rPr>
              <w:t>水费</w:t>
            </w:r>
            <w:r>
              <w:rPr>
                <w:rFonts w:hint="default" w:ascii="Times New Roman" w:hAnsi="Times New Roman" w:eastAsia="方正仿宋简体" w:cs="（使用中文字体）"/>
                <w:b w:val="0"/>
                <w:bCs w:val="0"/>
                <w:color w:val="auto"/>
                <w:spacing w:val="6"/>
                <w:sz w:val="21"/>
                <w:szCs w:val="21"/>
                <w:highlight w:val="none"/>
                <w:u w:val="none" w:color="auto"/>
                <w:vertAlign w:val="baseline"/>
              </w:rPr>
              <w:t>上缴到村级会计代理委托中心，由乡财政所统一管理，规范资金收支流程，并严格执行专款专用原则，杜绝坐收坐支现象。</w:t>
            </w:r>
          </w:p>
        </w:tc>
        <w:tc>
          <w:tcPr>
            <w:tcW w:w="1728" w:type="dxa"/>
            <w:noWrap w:val="0"/>
            <w:vAlign w:val="center"/>
          </w:tcPr>
          <w:p w14:paraId="3F9020E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4A43B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0" w:type="dxa"/>
            <w:noWrap w:val="0"/>
            <w:vAlign w:val="center"/>
          </w:tcPr>
          <w:p w14:paraId="52A9FAE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18</w:t>
            </w:r>
          </w:p>
        </w:tc>
        <w:tc>
          <w:tcPr>
            <w:tcW w:w="2670" w:type="dxa"/>
            <w:noWrap w:val="0"/>
            <w:vAlign w:val="center"/>
          </w:tcPr>
          <w:p w14:paraId="02CCA6B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十三、</w:t>
            </w:r>
            <w:r>
              <w:rPr>
                <w:rFonts w:hint="eastAsia" w:eastAsia="方正仿宋简体" w:cs="（使用中文字体）"/>
                <w:b w:val="0"/>
                <w:bCs w:val="0"/>
                <w:color w:val="auto"/>
                <w:spacing w:val="6"/>
                <w:sz w:val="21"/>
                <w:szCs w:val="21"/>
                <w:highlight w:val="none"/>
                <w:u w:val="none" w:color="auto"/>
                <w:vertAlign w:val="baseline"/>
                <w:lang w:eastAsia="zh-CN"/>
              </w:rPr>
              <w:t>关于</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固定资产管理不到位，账实不符</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700" w:type="dxa"/>
            <w:noWrap w:val="0"/>
            <w:vAlign w:val="center"/>
          </w:tcPr>
          <w:p w14:paraId="4682A41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w:t>
            </w:r>
            <w:r>
              <w:rPr>
                <w:rFonts w:hint="eastAsia" w:eastAsia="方正仿宋简体" w:cs="（使用中文字体）"/>
                <w:b w:val="0"/>
                <w:bCs w:val="0"/>
                <w:color w:val="auto"/>
                <w:spacing w:val="6"/>
                <w:sz w:val="21"/>
                <w:szCs w:val="21"/>
                <w:highlight w:val="none"/>
                <w:u w:val="none" w:color="auto"/>
                <w:vertAlign w:val="baseline"/>
                <w:lang w:val="en-US" w:eastAsia="zh-CN"/>
              </w:rPr>
              <w:t>抓好</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固定资产管理，</w:t>
            </w:r>
            <w:r>
              <w:rPr>
                <w:rFonts w:hint="eastAsia" w:eastAsia="方正仿宋简体" w:cs="（使用中文字体）"/>
                <w:b w:val="0"/>
                <w:bCs w:val="0"/>
                <w:color w:val="auto"/>
                <w:spacing w:val="6"/>
                <w:sz w:val="21"/>
                <w:szCs w:val="21"/>
                <w:highlight w:val="none"/>
                <w:u w:val="none" w:color="auto"/>
                <w:vertAlign w:val="baseline"/>
                <w:lang w:val="en-US" w:eastAsia="zh-CN"/>
              </w:rPr>
              <w:t>做到</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账实</w:t>
            </w:r>
            <w:r>
              <w:rPr>
                <w:rFonts w:hint="eastAsia" w:eastAsia="方正仿宋简体" w:cs="（使用中文字体）"/>
                <w:b w:val="0"/>
                <w:bCs w:val="0"/>
                <w:color w:val="auto"/>
                <w:spacing w:val="6"/>
                <w:sz w:val="21"/>
                <w:szCs w:val="21"/>
                <w:highlight w:val="none"/>
                <w:u w:val="none" w:color="auto"/>
                <w:vertAlign w:val="baseline"/>
                <w:lang w:val="en-US" w:eastAsia="zh-CN"/>
              </w:rPr>
              <w:t>相符</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p>
        </w:tc>
        <w:tc>
          <w:tcPr>
            <w:tcW w:w="6465" w:type="dxa"/>
            <w:noWrap w:val="0"/>
            <w:vAlign w:val="center"/>
          </w:tcPr>
          <w:p w14:paraId="596621B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组织村“两委”班子成员开展固定资产管理相关政策内容的学习，强化班子成员对资产管理的意识；二是邀请乡自然资源所携测绘仪现场测绘地块界限及面积，已出具茶地坐标，确定地块边界。三是在乡农业综合服务中心固定资产系统完成补登录入申报工作，按现价评估茶地价值，计入2025年村级固定资产。</w:t>
            </w:r>
          </w:p>
        </w:tc>
        <w:tc>
          <w:tcPr>
            <w:tcW w:w="1728" w:type="dxa"/>
            <w:noWrap w:val="0"/>
            <w:vAlign w:val="center"/>
          </w:tcPr>
          <w:p w14:paraId="5697202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33151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0" w:type="dxa"/>
            <w:noWrap w:val="0"/>
            <w:vAlign w:val="center"/>
          </w:tcPr>
          <w:p w14:paraId="64606C6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19</w:t>
            </w:r>
          </w:p>
        </w:tc>
        <w:tc>
          <w:tcPr>
            <w:tcW w:w="2670" w:type="dxa"/>
            <w:noWrap w:val="0"/>
            <w:vAlign w:val="center"/>
          </w:tcPr>
          <w:p w14:paraId="6B025D7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十四、</w:t>
            </w:r>
            <w:r>
              <w:rPr>
                <w:rFonts w:hint="eastAsia" w:eastAsia="方正仿宋简体" w:cs="（使用中文字体）"/>
                <w:b w:val="0"/>
                <w:bCs w:val="0"/>
                <w:color w:val="auto"/>
                <w:spacing w:val="6"/>
                <w:sz w:val="21"/>
                <w:szCs w:val="21"/>
                <w:highlight w:val="none"/>
                <w:u w:val="none" w:color="auto"/>
                <w:vertAlign w:val="baseline"/>
                <w:lang w:eastAsia="zh-CN"/>
              </w:rPr>
              <w:t>关于</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资金支出审批不严，支持依据不充分</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700" w:type="dxa"/>
            <w:noWrap w:val="0"/>
            <w:vAlign w:val="center"/>
          </w:tcPr>
          <w:p w14:paraId="3FBF073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w:t>
            </w:r>
            <w:r>
              <w:rPr>
                <w:rFonts w:hint="eastAsia" w:eastAsia="方正仿宋简体" w:cs="（使用中文字体）"/>
                <w:b w:val="0"/>
                <w:bCs w:val="0"/>
                <w:color w:val="auto"/>
                <w:spacing w:val="6"/>
                <w:sz w:val="21"/>
                <w:szCs w:val="21"/>
                <w:highlight w:val="none"/>
                <w:u w:val="none" w:color="auto"/>
                <w:vertAlign w:val="baseline"/>
                <w:lang w:val="en-US" w:eastAsia="zh-CN"/>
              </w:rPr>
              <w:t>严格规范</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资金支出审批，支持依据</w:t>
            </w:r>
            <w:r>
              <w:rPr>
                <w:rFonts w:hint="eastAsia" w:eastAsia="方正仿宋简体" w:cs="（使用中文字体）"/>
                <w:b w:val="0"/>
                <w:bCs w:val="0"/>
                <w:color w:val="auto"/>
                <w:spacing w:val="6"/>
                <w:sz w:val="21"/>
                <w:szCs w:val="21"/>
                <w:highlight w:val="none"/>
                <w:u w:val="none" w:color="auto"/>
                <w:vertAlign w:val="baseline"/>
                <w:lang w:val="en-US" w:eastAsia="zh-CN"/>
              </w:rPr>
              <w:t>做到</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充分。</w:t>
            </w:r>
          </w:p>
        </w:tc>
        <w:tc>
          <w:tcPr>
            <w:tcW w:w="6465" w:type="dxa"/>
            <w:noWrap w:val="0"/>
            <w:vAlign w:val="center"/>
          </w:tcPr>
          <w:p w14:paraId="694DC6B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严格资金支付流程，针对无垫支凭证的情况下直接打款情况，认真梳理资金用途，补齐垫支凭证。二是针对货物发票与情况说明不相符的情况，根据资金实际使用中的货物商品出具相符的情况说明。三是规范伙食费管理，严格制定活动方案，要求伙食费支出中需要附人员名册签到、用餐图片等，并完善支出凭证。四是加强报账审核，仔细核对发票与情况说明，确保内容一致，避免开支记录不符，针对村运转经费支取，要求必须提供垫支凭证方可打款，明确各款项支付条件与审核要点，杜绝无凭证打款情况再次发生。</w:t>
            </w:r>
          </w:p>
        </w:tc>
        <w:tc>
          <w:tcPr>
            <w:tcW w:w="1728" w:type="dxa"/>
            <w:noWrap w:val="0"/>
            <w:vAlign w:val="center"/>
          </w:tcPr>
          <w:p w14:paraId="18557BE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1E6B3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0" w:type="dxa"/>
            <w:noWrap w:val="0"/>
            <w:vAlign w:val="center"/>
          </w:tcPr>
          <w:p w14:paraId="0ACD6B6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20</w:t>
            </w:r>
          </w:p>
        </w:tc>
        <w:tc>
          <w:tcPr>
            <w:tcW w:w="2670" w:type="dxa"/>
            <w:vMerge w:val="restart"/>
            <w:noWrap w:val="0"/>
            <w:vAlign w:val="center"/>
          </w:tcPr>
          <w:p w14:paraId="6AEAF78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十五、</w:t>
            </w:r>
            <w:r>
              <w:rPr>
                <w:rFonts w:hint="eastAsia" w:eastAsia="方正仿宋简体" w:cs="（使用中文字体）"/>
                <w:b w:val="0"/>
                <w:bCs w:val="0"/>
                <w:color w:val="auto"/>
                <w:spacing w:val="6"/>
                <w:sz w:val="21"/>
                <w:szCs w:val="21"/>
                <w:highlight w:val="none"/>
                <w:u w:val="none" w:color="auto"/>
                <w:vertAlign w:val="baseline"/>
                <w:lang w:eastAsia="zh-CN"/>
              </w:rPr>
              <w:t>关于</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党建主体责任落实不到位，未严格执行党的组织生活制度</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700" w:type="dxa"/>
            <w:noWrap w:val="0"/>
            <w:vAlign w:val="center"/>
          </w:tcPr>
          <w:p w14:paraId="03A9CC0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r>
              <w:rPr>
                <w:rFonts w:hint="eastAsia" w:eastAsia="方正仿宋简体" w:cs="（使用中文字体）"/>
                <w:b w:val="0"/>
                <w:bCs w:val="0"/>
                <w:color w:val="auto"/>
                <w:spacing w:val="6"/>
                <w:sz w:val="21"/>
                <w:szCs w:val="21"/>
                <w:highlight w:val="none"/>
                <w:u w:val="none" w:color="auto"/>
                <w:vertAlign w:val="baseline"/>
                <w:lang w:val="en-US" w:eastAsia="zh-CN"/>
              </w:rPr>
              <w:t>严肃抓好</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组织生活会。</w:t>
            </w:r>
          </w:p>
        </w:tc>
        <w:tc>
          <w:tcPr>
            <w:tcW w:w="6465" w:type="dxa"/>
            <w:noWrap w:val="0"/>
            <w:vAlign w:val="center"/>
          </w:tcPr>
          <w:p w14:paraId="7BFBF16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强化组织生活会纪律，要求班子成员严格依照方案进行自我检查。会前严格审查材料，一旦发现抄袭或借鉴，立即要求重做，审核合格后方可参会，确保会议实效。二是建立学习教育机制，组织班子成员学习组织生活会重要性及对照检查规范，邀请乡组织委员讲解撰写方法。三是严格审核组织生活会材料，组织班子成员学习组织生活会重要性及对照检查规范，邀请乡基层党建办和党建指导员培训、到会指导。</w:t>
            </w:r>
          </w:p>
        </w:tc>
        <w:tc>
          <w:tcPr>
            <w:tcW w:w="1728" w:type="dxa"/>
            <w:noWrap w:val="0"/>
            <w:vAlign w:val="center"/>
          </w:tcPr>
          <w:p w14:paraId="5F7D8E8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245D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0" w:type="dxa"/>
            <w:noWrap w:val="0"/>
            <w:vAlign w:val="center"/>
          </w:tcPr>
          <w:p w14:paraId="195DA65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21</w:t>
            </w:r>
          </w:p>
        </w:tc>
        <w:tc>
          <w:tcPr>
            <w:tcW w:w="2670" w:type="dxa"/>
            <w:vMerge w:val="continue"/>
            <w:noWrap w:val="0"/>
            <w:vAlign w:val="center"/>
          </w:tcPr>
          <w:p w14:paraId="009060D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2700" w:type="dxa"/>
            <w:noWrap w:val="0"/>
            <w:vAlign w:val="center"/>
          </w:tcPr>
          <w:p w14:paraId="32B9C09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2.</w:t>
            </w:r>
            <w:r>
              <w:rPr>
                <w:rFonts w:hint="eastAsia" w:eastAsia="方正仿宋简体" w:cs="（使用中文字体）"/>
                <w:b w:val="0"/>
                <w:bCs w:val="0"/>
                <w:color w:val="auto"/>
                <w:spacing w:val="6"/>
                <w:sz w:val="21"/>
                <w:szCs w:val="21"/>
                <w:highlight w:val="none"/>
                <w:u w:val="none" w:color="auto"/>
                <w:vertAlign w:val="baseline"/>
                <w:lang w:val="en-US" w:eastAsia="zh-CN"/>
              </w:rPr>
              <w:t>不断完善</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党建资料管理。</w:t>
            </w:r>
          </w:p>
        </w:tc>
        <w:tc>
          <w:tcPr>
            <w:tcW w:w="6465" w:type="dxa"/>
            <w:noWrap w:val="0"/>
            <w:vAlign w:val="center"/>
          </w:tcPr>
          <w:p w14:paraId="7CCFAE3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设立党建资料专职管理员，由责任心强的干部担任，负责资料的收集、整理与归档。定期全面梳理党总支党建工作、党员会议学习及党课内容，及时查缺补漏。二是制定党建资料分类存储标准，依据时间和类别归档。针对缺失的研究、学习资料和党课内容，依据会议记录和影像资料及时补充。三是邀请乡组织委员开展党建资料管理培训，提升干部对资料重要性的认识和管理能力。建立资料审核机制，对新生成资料严格把关，确保后续资料完整规范。</w:t>
            </w:r>
          </w:p>
        </w:tc>
        <w:tc>
          <w:tcPr>
            <w:tcW w:w="1728" w:type="dxa"/>
            <w:noWrap w:val="0"/>
            <w:vAlign w:val="center"/>
          </w:tcPr>
          <w:p w14:paraId="3CCDB7F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03F6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0" w:type="dxa"/>
            <w:noWrap w:val="0"/>
            <w:vAlign w:val="center"/>
          </w:tcPr>
          <w:p w14:paraId="776A984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22</w:t>
            </w:r>
          </w:p>
        </w:tc>
        <w:tc>
          <w:tcPr>
            <w:tcW w:w="2670" w:type="dxa"/>
            <w:noWrap w:val="0"/>
            <w:vAlign w:val="center"/>
          </w:tcPr>
          <w:p w14:paraId="7F8880F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十六、</w:t>
            </w:r>
            <w:r>
              <w:rPr>
                <w:rFonts w:hint="eastAsia" w:eastAsia="方正仿宋简体" w:cs="（使用中文字体）"/>
                <w:b w:val="0"/>
                <w:bCs w:val="0"/>
                <w:color w:val="auto"/>
                <w:spacing w:val="6"/>
                <w:sz w:val="21"/>
                <w:szCs w:val="21"/>
                <w:highlight w:val="none"/>
                <w:u w:val="none" w:color="auto"/>
                <w:vertAlign w:val="baseline"/>
                <w:lang w:eastAsia="zh-CN"/>
              </w:rPr>
              <w:t>关于</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干部队伍能力结构失衡，后备干部储备不足</w:t>
            </w:r>
            <w:r>
              <w:rPr>
                <w:rFonts w:hint="eastAsia" w:eastAsia="方正仿宋简体" w:cs="Times New Roman"/>
                <w:b w:val="0"/>
                <w:bCs/>
                <w:color w:val="auto"/>
                <w:spacing w:val="0"/>
                <w:kern w:val="2"/>
                <w:sz w:val="21"/>
                <w:szCs w:val="21"/>
                <w:highlight w:val="none"/>
                <w:u w:val="none" w:color="auto"/>
                <w:lang w:val="en-US" w:eastAsia="zh-CN" w:bidi="ar-SA"/>
              </w:rPr>
              <w:t>方面的整改进展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700" w:type="dxa"/>
            <w:noWrap w:val="0"/>
            <w:vAlign w:val="center"/>
          </w:tcPr>
          <w:p w14:paraId="078C371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eastAsia="方正仿宋简体" w:cs="（使用中文字体）"/>
                <w:b w:val="0"/>
                <w:bCs w:val="0"/>
                <w:color w:val="auto"/>
                <w:spacing w:val="6"/>
                <w:sz w:val="21"/>
                <w:szCs w:val="21"/>
                <w:highlight w:val="none"/>
                <w:u w:val="none" w:color="auto"/>
                <w:vertAlign w:val="baseline"/>
                <w:lang w:val="en-US" w:eastAsia="zh-CN"/>
              </w:rPr>
              <w:t>1</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r>
              <w:rPr>
                <w:rFonts w:hint="eastAsia" w:eastAsia="方正仿宋简体" w:cs="（使用中文字体）"/>
                <w:b w:val="0"/>
                <w:bCs w:val="0"/>
                <w:color w:val="auto"/>
                <w:spacing w:val="6"/>
                <w:sz w:val="21"/>
                <w:szCs w:val="21"/>
                <w:highlight w:val="none"/>
                <w:u w:val="none" w:color="auto"/>
                <w:vertAlign w:val="baseline"/>
                <w:lang w:val="en-US" w:eastAsia="zh-CN"/>
              </w:rPr>
              <w:t>不断强化调整</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干部队伍能力</w:t>
            </w:r>
            <w:r>
              <w:rPr>
                <w:rFonts w:hint="eastAsia" w:eastAsia="方正仿宋简体" w:cs="（使用中文字体）"/>
                <w:b w:val="0"/>
                <w:bCs w:val="0"/>
                <w:color w:val="auto"/>
                <w:spacing w:val="6"/>
                <w:sz w:val="21"/>
                <w:szCs w:val="21"/>
                <w:highlight w:val="none"/>
                <w:u w:val="none" w:color="auto"/>
                <w:vertAlign w:val="baseline"/>
                <w:lang w:val="en-US" w:eastAsia="zh-CN"/>
              </w:rPr>
              <w:t>建设</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r>
              <w:rPr>
                <w:rFonts w:hint="eastAsia" w:eastAsia="方正仿宋简体" w:cs="（使用中文字体）"/>
                <w:b w:val="0"/>
                <w:bCs w:val="0"/>
                <w:color w:val="auto"/>
                <w:spacing w:val="6"/>
                <w:sz w:val="21"/>
                <w:szCs w:val="21"/>
                <w:highlight w:val="none"/>
                <w:u w:val="none" w:color="auto"/>
                <w:vertAlign w:val="baseline"/>
                <w:lang w:val="en-US" w:eastAsia="zh-CN"/>
              </w:rPr>
              <w:t>特别</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后备干部储备</w:t>
            </w:r>
            <w:r>
              <w:rPr>
                <w:rFonts w:hint="eastAsia" w:eastAsia="方正仿宋简体" w:cs="（使用中文字体）"/>
                <w:b w:val="0"/>
                <w:bCs w:val="0"/>
                <w:color w:val="auto"/>
                <w:spacing w:val="6"/>
                <w:sz w:val="21"/>
                <w:szCs w:val="21"/>
                <w:highlight w:val="none"/>
                <w:u w:val="none" w:color="auto"/>
                <w:vertAlign w:val="baseline"/>
                <w:lang w:val="en-US" w:eastAsia="zh-CN"/>
              </w:rPr>
              <w:t>上抓好整改</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p>
        </w:tc>
        <w:tc>
          <w:tcPr>
            <w:tcW w:w="6465" w:type="dxa"/>
            <w:noWrap w:val="0"/>
            <w:vAlign w:val="center"/>
          </w:tcPr>
          <w:p w14:paraId="0C6F2E3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优化班子结构，提升学历水平，拓宽选人视野，优先引进大专以上学历且有潜力的青年人才作为“两委”后备力量，并通过培训和实践提升其能力。二是强化青年党员培养，加大对青年群体的入党宣传力度，动员35岁以下优秀村民和返乡青年积极申请入党，并建立培养台账，确保青年党员队伍持续发展。三是建立后备储备机制，摸排本村优秀人才，建立“两委”后备干部和青年党员储备库，明确培养计划，通过压担子、交任务提升实践能力，确保储备数量充足、结构合理。四是强化学习提升，组织班子成员和党员参加学历提升、技能培训，结合乡村振兴需求开展实用课程，提升整体能力素质。</w:t>
            </w:r>
          </w:p>
        </w:tc>
        <w:tc>
          <w:tcPr>
            <w:tcW w:w="1728" w:type="dxa"/>
            <w:noWrap w:val="0"/>
            <w:vAlign w:val="center"/>
          </w:tcPr>
          <w:p w14:paraId="2A9DE19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bl>
    <w:p w14:paraId="29A865DA">
      <w:pPr>
        <w:rPr>
          <w:rFonts w:ascii="Times New Roman" w:hAnsi="Times New Roman"/>
        </w:rPr>
      </w:pPr>
    </w:p>
    <w:p w14:paraId="61D64DDB">
      <w:pPr>
        <w:pStyle w:val="9"/>
        <w:rPr>
          <w:rFonts w:hint="eastAsia" w:ascii="Times New Roman" w:hAnsi="Times New Roman" w:eastAsia="方正仿宋简体" w:cs="Times New Roman"/>
          <w:lang w:eastAsia="zh-CN"/>
        </w:rPr>
      </w:pPr>
    </w:p>
    <w:p w14:paraId="5002A284"/>
    <w:sectPr>
      <w:footerReference r:id="rId3" w:type="default"/>
      <w:pgSz w:w="16838" w:h="11906" w:orient="landscape"/>
      <w:pgMar w:top="1587" w:right="2211" w:bottom="1474" w:left="187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简体">
    <w:altName w:val="宋体"/>
    <w:panose1 w:val="03000509000000000000"/>
    <w:charset w:val="86"/>
    <w:family w:val="script"/>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12" w:usb3="00000000" w:csb0="00040001" w:csb1="00000000"/>
  </w:font>
  <w:font w:name="方正仿宋简体">
    <w:altName w:val="微软雅黑"/>
    <w:panose1 w:val="03000509000000000000"/>
    <w:charset w:val="86"/>
    <w:family w:val="auto"/>
    <w:pitch w:val="default"/>
    <w:sig w:usb0="00000000" w:usb1="00000000" w:usb2="00000000" w:usb3="00000000" w:csb0="00040000" w:csb1="00000000"/>
  </w:font>
  <w:font w:name="方正黑体简体">
    <w:altName w:val="微软雅黑"/>
    <w:panose1 w:val="03000509000000000000"/>
    <w:charset w:val="86"/>
    <w:family w:val="auto"/>
    <w:pitch w:val="default"/>
    <w:sig w:usb0="00000000" w:usb1="00000000" w:usb2="00000000" w:usb3="00000000" w:csb0="00040000" w:csb1="00000000"/>
  </w:font>
  <w:font w:name="（使用中文字体）">
    <w:altName w:val="yyb"/>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yyb">
    <w:panose1 w:val="020B0200000000000000"/>
    <w:charset w:val="86"/>
    <w:family w:val="auto"/>
    <w:pitch w:val="default"/>
    <w:sig w:usb0="20000083" w:usb1="10000000" w:usb2="00000016" w:usb3="00000000" w:csb0="60060107"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48AD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1E023">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E1E023">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DF8162"/>
    <w:multiLevelType w:val="singleLevel"/>
    <w:tmpl w:val="EBDF8162"/>
    <w:lvl w:ilvl="0" w:tentative="0">
      <w:start w:val="1"/>
      <w:numFmt w:val="chineseCounting"/>
      <w:pStyle w:val="2"/>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CC3783"/>
    <w:rsid w:val="5FCC37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next w:val="1"/>
    <w:unhideWhenUsed/>
    <w:qFormat/>
    <w:uiPriority w:val="0"/>
    <w:pPr>
      <w:keepNext/>
      <w:keepLines/>
      <w:widowControl w:val="0"/>
      <w:numPr>
        <w:ilvl w:val="0"/>
        <w:numId w:val="1"/>
      </w:numPr>
      <w:spacing w:line="560" w:lineRule="exact"/>
      <w:ind w:firstLine="880" w:firstLineChars="200"/>
      <w:jc w:val="both"/>
      <w:outlineLvl w:val="1"/>
    </w:pPr>
    <w:rPr>
      <w:rFonts w:ascii="Times New Roman" w:hAnsi="Times New Roman" w:eastAsia="方正楷体简体" w:cs="Times New Roman"/>
      <w:kern w:val="2"/>
      <w:sz w:val="34"/>
      <w:szCs w:val="24"/>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Indent 2"/>
    <w:qFormat/>
    <w:uiPriority w:val="0"/>
    <w:pPr>
      <w:widowControl w:val="0"/>
      <w:spacing w:after="120" w:afterLines="0" w:afterAutospacing="0" w:line="480" w:lineRule="auto"/>
      <w:ind w:left="420" w:leftChars="200"/>
      <w:jc w:val="both"/>
    </w:pPr>
    <w:rPr>
      <w:rFonts w:ascii="Times New Roman" w:hAnsi="Times New Roman" w:eastAsia="宋体" w:cs="Times New Roman"/>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jc w:val="left"/>
    </w:pPr>
    <w:rPr>
      <w:kern w:val="0"/>
      <w:sz w:val="24"/>
      <w:szCs w:val="24"/>
    </w:rPr>
  </w:style>
  <w:style w:type="table" w:styleId="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Normal Indent1"/>
    <w:basedOn w:val="10"/>
    <w:qFormat/>
    <w:uiPriority w:val="0"/>
    <w:pPr>
      <w:ind w:firstLine="420" w:firstLineChars="200"/>
    </w:pPr>
  </w:style>
  <w:style w:type="paragraph" w:customStyle="1" w:styleId="10">
    <w:name w:val="正文 New New New"/>
    <w:next w:val="9"/>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2026-09-03T06:23:00Z</dcterms:created>
  <dc:creator>在水一方</dc:creator>
  <cp:lastModifiedBy>在水一方</cp:lastModifiedBy>
  <dcterms:modified xsi:type="dcterms:W3CDTF">2026-09-03T06:23:53Z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B7C8EAA0EE1842BE9F9C584697D0FF63_11</vt:lpwstr>
  </property>
  <property fmtid="{D5CDD505-2E9C-101B-9397-08002B2CF9AE}" pid="4" name="KSOTemplateDocerSaveRecord">
    <vt:lpwstr>eyJoZGlkIjoiZjVkZGY1M2E5OTE3ZDk1MzRmZjIzNDNkMTIxMTcxYmIiLCJ1c2VySWQiOiI0NjM0MDM3NDMifQ==</vt:lpwstr>
  </property>
</Properties>
</file>