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1337"/>
        <w:gridCol w:w="6606"/>
        <w:gridCol w:w="1442"/>
        <w:gridCol w:w="1197"/>
        <w:gridCol w:w="1284"/>
        <w:gridCol w:w="890"/>
      </w:tblGrid>
      <w:tr w14:paraId="48134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984" w:type="dxa"/>
            <w:tcBorders>
              <w:top w:val="nil"/>
              <w:left w:val="nil"/>
              <w:bottom w:val="nil"/>
              <w:right w:val="nil"/>
            </w:tcBorders>
            <w:noWrap w:val="0"/>
            <w:vAlign w:val="center"/>
          </w:tcPr>
          <w:p w14:paraId="5A722F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iCs w:val="0"/>
                <w:color w:val="000000"/>
                <w:sz w:val="28"/>
                <w:szCs w:val="28"/>
                <w:u w:val="none"/>
              </w:rPr>
            </w:pPr>
            <w:bookmarkStart w:id="0" w:name="_GoBack"/>
            <w:r>
              <w:rPr>
                <w:rFonts w:ascii="宋体" w:hAnsi="宋体" w:eastAsia="宋体" w:cs="宋体"/>
                <w:i w:val="0"/>
                <w:iCs w:val="0"/>
                <w:color w:val="000000"/>
                <w:kern w:val="0"/>
                <w:sz w:val="24"/>
                <w:szCs w:val="24"/>
                <w:u w:val="none"/>
                <w:lang w:val="en-US" w:eastAsia="zh-CN" w:bidi="ar"/>
              </w:rPr>
              <w:t>附件</w:t>
            </w:r>
            <w:r>
              <w:rPr>
                <w:rFonts w:hint="default" w:ascii="Times New Roman" w:hAnsi="Times New Roman" w:eastAsia="宋体" w:cs="Times New Roman"/>
                <w:i w:val="0"/>
                <w:iCs w:val="0"/>
                <w:color w:val="000000"/>
                <w:kern w:val="0"/>
                <w:sz w:val="28"/>
                <w:szCs w:val="28"/>
                <w:u w:val="none"/>
                <w:lang w:val="en-US" w:eastAsia="zh-CN" w:bidi="ar"/>
              </w:rPr>
              <w:t>4</w:t>
            </w:r>
            <w:bookmarkEnd w:id="0"/>
          </w:p>
        </w:tc>
        <w:tc>
          <w:tcPr>
            <w:tcW w:w="1337" w:type="dxa"/>
            <w:tcBorders>
              <w:top w:val="nil"/>
              <w:left w:val="nil"/>
              <w:bottom w:val="nil"/>
              <w:right w:val="nil"/>
            </w:tcBorders>
            <w:noWrap w:val="0"/>
            <w:vAlign w:val="center"/>
          </w:tcPr>
          <w:p w14:paraId="032929E0">
            <w:pPr>
              <w:rPr>
                <w:rFonts w:hint="default" w:ascii="Times New Roman" w:hAnsi="Times New Roman" w:eastAsia="宋体" w:cs="Times New Roman"/>
                <w:i w:val="0"/>
                <w:iCs w:val="0"/>
                <w:color w:val="000000"/>
                <w:sz w:val="24"/>
                <w:szCs w:val="24"/>
                <w:u w:val="none"/>
              </w:rPr>
            </w:pPr>
          </w:p>
        </w:tc>
        <w:tc>
          <w:tcPr>
            <w:tcW w:w="6606" w:type="dxa"/>
            <w:tcBorders>
              <w:top w:val="nil"/>
              <w:left w:val="nil"/>
              <w:bottom w:val="nil"/>
              <w:right w:val="nil"/>
            </w:tcBorders>
            <w:noWrap w:val="0"/>
            <w:vAlign w:val="center"/>
          </w:tcPr>
          <w:p w14:paraId="50D3B2FF">
            <w:pPr>
              <w:jc w:val="both"/>
              <w:rPr>
                <w:rFonts w:hint="default" w:ascii="Times New Roman" w:hAnsi="Times New Roman" w:eastAsia="宋体" w:cs="Times New Roman"/>
                <w:i w:val="0"/>
                <w:iCs w:val="0"/>
                <w:color w:val="000000"/>
                <w:sz w:val="24"/>
                <w:szCs w:val="24"/>
                <w:u w:val="none"/>
              </w:rPr>
            </w:pPr>
          </w:p>
        </w:tc>
        <w:tc>
          <w:tcPr>
            <w:tcW w:w="1442" w:type="dxa"/>
            <w:tcBorders>
              <w:top w:val="nil"/>
              <w:left w:val="nil"/>
              <w:bottom w:val="nil"/>
              <w:right w:val="nil"/>
            </w:tcBorders>
            <w:noWrap w:val="0"/>
            <w:vAlign w:val="center"/>
          </w:tcPr>
          <w:p w14:paraId="7DA7A1AE">
            <w:pPr>
              <w:jc w:val="center"/>
              <w:rPr>
                <w:rFonts w:hint="default" w:ascii="Times New Roman" w:hAnsi="Times New Roman" w:eastAsia="宋体" w:cs="Times New Roman"/>
                <w:i w:val="0"/>
                <w:iCs w:val="0"/>
                <w:color w:val="000000"/>
                <w:sz w:val="24"/>
                <w:szCs w:val="24"/>
                <w:u w:val="none"/>
              </w:rPr>
            </w:pPr>
          </w:p>
        </w:tc>
        <w:tc>
          <w:tcPr>
            <w:tcW w:w="1197" w:type="dxa"/>
            <w:tcBorders>
              <w:top w:val="nil"/>
              <w:left w:val="nil"/>
              <w:bottom w:val="nil"/>
              <w:right w:val="nil"/>
            </w:tcBorders>
            <w:noWrap w:val="0"/>
            <w:vAlign w:val="center"/>
          </w:tcPr>
          <w:p w14:paraId="41C3471E">
            <w:pPr>
              <w:jc w:val="center"/>
              <w:rPr>
                <w:rFonts w:hint="default" w:ascii="Times New Roman" w:hAnsi="Times New Roman" w:eastAsia="宋体" w:cs="Times New Roman"/>
                <w:i w:val="0"/>
                <w:iCs w:val="0"/>
                <w:color w:val="000000"/>
                <w:sz w:val="24"/>
                <w:szCs w:val="24"/>
                <w:u w:val="none"/>
              </w:rPr>
            </w:pPr>
          </w:p>
        </w:tc>
        <w:tc>
          <w:tcPr>
            <w:tcW w:w="1284" w:type="dxa"/>
            <w:tcBorders>
              <w:top w:val="nil"/>
              <w:left w:val="nil"/>
              <w:bottom w:val="nil"/>
              <w:right w:val="nil"/>
            </w:tcBorders>
            <w:noWrap w:val="0"/>
            <w:vAlign w:val="center"/>
          </w:tcPr>
          <w:p w14:paraId="77BA405C">
            <w:pPr>
              <w:jc w:val="center"/>
              <w:rPr>
                <w:rFonts w:hint="default" w:ascii="Times New Roman" w:hAnsi="Times New Roman" w:eastAsia="宋体" w:cs="Times New Roman"/>
                <w:i w:val="0"/>
                <w:iCs w:val="0"/>
                <w:color w:val="000000"/>
                <w:sz w:val="24"/>
                <w:szCs w:val="24"/>
                <w:u w:val="none"/>
              </w:rPr>
            </w:pPr>
          </w:p>
        </w:tc>
        <w:tc>
          <w:tcPr>
            <w:tcW w:w="890" w:type="dxa"/>
            <w:tcBorders>
              <w:top w:val="nil"/>
              <w:left w:val="nil"/>
              <w:bottom w:val="nil"/>
              <w:right w:val="nil"/>
            </w:tcBorders>
            <w:noWrap w:val="0"/>
            <w:vAlign w:val="center"/>
          </w:tcPr>
          <w:p w14:paraId="1D286A56">
            <w:pPr>
              <w:jc w:val="center"/>
              <w:rPr>
                <w:rFonts w:hint="default" w:ascii="Times New Roman" w:hAnsi="Times New Roman" w:eastAsia="宋体" w:cs="Times New Roman"/>
                <w:i w:val="0"/>
                <w:iCs w:val="0"/>
                <w:color w:val="000000"/>
                <w:sz w:val="24"/>
                <w:szCs w:val="24"/>
                <w:u w:val="none"/>
              </w:rPr>
            </w:pPr>
          </w:p>
        </w:tc>
      </w:tr>
      <w:tr w14:paraId="6C5C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740" w:type="dxa"/>
            <w:gridSpan w:val="7"/>
            <w:tcBorders>
              <w:top w:val="nil"/>
              <w:left w:val="nil"/>
              <w:bottom w:val="nil"/>
              <w:right w:val="nil"/>
            </w:tcBorders>
            <w:noWrap w:val="0"/>
            <w:vAlign w:val="center"/>
          </w:tcPr>
          <w:p w14:paraId="5BF3DA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iCs w:val="0"/>
                <w:color w:val="000000"/>
                <w:sz w:val="44"/>
                <w:szCs w:val="44"/>
                <w:u w:val="none"/>
              </w:rPr>
            </w:pPr>
            <w:r>
              <w:rPr>
                <w:rFonts w:ascii="方正小标宋简体" w:hAnsi="方正小标宋简体" w:eastAsia="方正小标宋简体" w:cs="方正小标宋简体"/>
                <w:i w:val="0"/>
                <w:iCs w:val="0"/>
                <w:color w:val="000000"/>
                <w:kern w:val="0"/>
                <w:sz w:val="44"/>
                <w:szCs w:val="44"/>
                <w:u w:val="none"/>
                <w:lang w:val="en-US" w:eastAsia="zh-CN" w:bidi="ar"/>
              </w:rPr>
              <w:t>十三届县委第八轮巡察勐乃村反馈问题</w:t>
            </w:r>
            <w:r>
              <w:rPr>
                <w:rFonts w:hint="eastAsia" w:ascii="方正小标宋简体" w:hAnsi="方正小标宋简体" w:eastAsia="方正小标宋简体" w:cs="方正小标宋简体"/>
                <w:i w:val="0"/>
                <w:iCs w:val="0"/>
                <w:color w:val="000000"/>
                <w:kern w:val="0"/>
                <w:sz w:val="44"/>
                <w:szCs w:val="44"/>
                <w:u w:val="none"/>
                <w:lang w:val="en-US" w:eastAsia="zh-CN" w:bidi="ar"/>
              </w:rPr>
              <w:t>社会公开</w:t>
            </w:r>
            <w:r>
              <w:rPr>
                <w:rFonts w:ascii="方正小标宋简体" w:hAnsi="方正小标宋简体" w:eastAsia="方正小标宋简体" w:cs="方正小标宋简体"/>
                <w:i w:val="0"/>
                <w:iCs w:val="0"/>
                <w:color w:val="000000"/>
                <w:kern w:val="0"/>
                <w:sz w:val="44"/>
                <w:szCs w:val="44"/>
                <w:u w:val="none"/>
                <w:lang w:val="en-US" w:eastAsia="zh-CN" w:bidi="ar"/>
              </w:rPr>
              <w:t>台账</w:t>
            </w:r>
          </w:p>
        </w:tc>
      </w:tr>
      <w:tr w14:paraId="37C6F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4740" w:type="dxa"/>
            <w:gridSpan w:val="7"/>
            <w:tcBorders>
              <w:top w:val="nil"/>
              <w:left w:val="nil"/>
              <w:bottom w:val="nil"/>
              <w:right w:val="nil"/>
            </w:tcBorders>
            <w:noWrap w:val="0"/>
            <w:vAlign w:val="center"/>
          </w:tcPr>
          <w:p w14:paraId="601F71E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方正仿宋简体" w:cs="Times New Roman"/>
                <w:i w:val="0"/>
                <w:iCs w:val="0"/>
                <w:color w:val="000000"/>
                <w:kern w:val="0"/>
                <w:sz w:val="32"/>
                <w:szCs w:val="32"/>
                <w:u w:val="none"/>
                <w:lang w:val="en-US" w:eastAsia="zh-CN" w:bidi="ar"/>
              </w:rPr>
              <w:t>填报单位（加盖公章）：</w:t>
            </w:r>
            <w:r>
              <w:rPr>
                <w:rFonts w:hint="eastAsia" w:eastAsia="方正仿宋简体" w:cs="Times New Roman"/>
                <w:i w:val="0"/>
                <w:iCs w:val="0"/>
                <w:color w:val="000000"/>
                <w:kern w:val="0"/>
                <w:sz w:val="32"/>
                <w:szCs w:val="32"/>
                <w:u w:val="none"/>
                <w:lang w:val="en-US" w:eastAsia="zh-CN" w:bidi="ar"/>
              </w:rPr>
              <w:t>中共发展河哈尼族乡委员会</w:t>
            </w:r>
            <w:r>
              <w:rPr>
                <w:rFonts w:hint="default" w:ascii="Times New Roman" w:hAnsi="Times New Roman" w:eastAsia="方正仿宋简体" w:cs="Times New Roman"/>
                <w:i w:val="0"/>
                <w:iCs w:val="0"/>
                <w:color w:val="000000"/>
                <w:kern w:val="0"/>
                <w:sz w:val="32"/>
                <w:szCs w:val="32"/>
                <w:u w:val="none"/>
                <w:lang w:val="en-US" w:eastAsia="zh-CN" w:bidi="ar"/>
              </w:rPr>
              <w:t xml:space="preserve">                  填报日期：202</w:t>
            </w:r>
            <w:r>
              <w:rPr>
                <w:rFonts w:hint="eastAsia" w:ascii="Times New Roman" w:hAnsi="Times New Roman" w:eastAsia="方正仿宋简体" w:cs="Times New Roman"/>
                <w:i w:val="0"/>
                <w:iCs w:val="0"/>
                <w:color w:val="000000"/>
                <w:kern w:val="0"/>
                <w:sz w:val="32"/>
                <w:szCs w:val="32"/>
                <w:u w:val="none"/>
                <w:lang w:val="en-US" w:eastAsia="zh-CN" w:bidi="ar"/>
              </w:rPr>
              <w:t>6</w:t>
            </w:r>
            <w:r>
              <w:rPr>
                <w:rFonts w:hint="default" w:ascii="Times New Roman" w:hAnsi="Times New Roman" w:eastAsia="方正仿宋简体" w:cs="Times New Roman"/>
                <w:i w:val="0"/>
                <w:iCs w:val="0"/>
                <w:color w:val="000000"/>
                <w:kern w:val="0"/>
                <w:sz w:val="32"/>
                <w:szCs w:val="32"/>
                <w:u w:val="none"/>
                <w:lang w:val="en-US" w:eastAsia="zh-CN" w:bidi="ar"/>
              </w:rPr>
              <w:t>年</w:t>
            </w:r>
            <w:r>
              <w:rPr>
                <w:rFonts w:hint="eastAsia" w:eastAsia="方正仿宋简体" w:cs="Times New Roman"/>
                <w:i w:val="0"/>
                <w:iCs w:val="0"/>
                <w:color w:val="000000"/>
                <w:kern w:val="0"/>
                <w:sz w:val="32"/>
                <w:szCs w:val="32"/>
                <w:u w:val="none"/>
                <w:lang w:val="en-US" w:eastAsia="zh-CN" w:bidi="ar"/>
              </w:rPr>
              <w:t>8</w:t>
            </w:r>
            <w:r>
              <w:rPr>
                <w:rFonts w:hint="default" w:ascii="Times New Roman" w:hAnsi="Times New Roman" w:eastAsia="方正仿宋简体" w:cs="Times New Roman"/>
                <w:i w:val="0"/>
                <w:iCs w:val="0"/>
                <w:color w:val="000000"/>
                <w:kern w:val="0"/>
                <w:sz w:val="32"/>
                <w:szCs w:val="32"/>
                <w:u w:val="none"/>
                <w:lang w:val="en-US" w:eastAsia="zh-CN" w:bidi="ar"/>
              </w:rPr>
              <w:t>月</w:t>
            </w:r>
            <w:r>
              <w:rPr>
                <w:rFonts w:hint="eastAsia" w:eastAsia="方正仿宋简体" w:cs="Times New Roman"/>
                <w:i w:val="0"/>
                <w:iCs w:val="0"/>
                <w:color w:val="000000"/>
                <w:kern w:val="0"/>
                <w:sz w:val="32"/>
                <w:szCs w:val="32"/>
                <w:u w:val="none"/>
                <w:lang w:val="en-US" w:eastAsia="zh-CN" w:bidi="ar"/>
              </w:rPr>
              <w:t>28</w:t>
            </w:r>
            <w:r>
              <w:rPr>
                <w:rFonts w:hint="default" w:ascii="Times New Roman" w:hAnsi="Times New Roman" w:eastAsia="方正仿宋简体" w:cs="Times New Roman"/>
                <w:i w:val="0"/>
                <w:iCs w:val="0"/>
                <w:color w:val="000000"/>
                <w:kern w:val="0"/>
                <w:sz w:val="32"/>
                <w:szCs w:val="32"/>
                <w:u w:val="none"/>
                <w:lang w:val="en-US" w:eastAsia="zh-CN" w:bidi="ar"/>
              </w:rPr>
              <w:t xml:space="preserve">日              </w:t>
            </w:r>
            <w:r>
              <w:rPr>
                <w:rFonts w:hint="eastAsia" w:ascii="Times New Roman" w:hAnsi="Times New Roman" w:cs="Times New Roman"/>
                <w:i w:val="0"/>
                <w:iCs w:val="0"/>
                <w:color w:val="000000"/>
                <w:kern w:val="0"/>
                <w:sz w:val="32"/>
                <w:szCs w:val="32"/>
                <w:u w:val="none"/>
                <w:lang w:val="en-US" w:eastAsia="zh-CN" w:bidi="ar"/>
              </w:rPr>
              <w:t xml:space="preserve">  </w:t>
            </w:r>
            <w:r>
              <w:rPr>
                <w:rFonts w:hint="default" w:ascii="Times New Roman" w:hAnsi="Times New Roman" w:eastAsia="方正仿宋简体" w:cs="Times New Roman"/>
                <w:i w:val="0"/>
                <w:iCs w:val="0"/>
                <w:color w:val="000000"/>
                <w:kern w:val="0"/>
                <w:sz w:val="32"/>
                <w:szCs w:val="32"/>
                <w:u w:val="none"/>
                <w:lang w:val="en-US" w:eastAsia="zh-CN" w:bidi="ar"/>
              </w:rPr>
              <w:t xml:space="preserve">                        </w:t>
            </w:r>
            <w:r>
              <w:rPr>
                <w:rFonts w:hint="default" w:ascii="Times New Roman" w:hAnsi="Times New Roman" w:eastAsia="宋体" w:cs="Times New Roman"/>
                <w:i w:val="0"/>
                <w:iCs w:val="0"/>
                <w:color w:val="000000"/>
                <w:kern w:val="0"/>
                <w:sz w:val="32"/>
                <w:szCs w:val="32"/>
                <w:u w:val="none"/>
                <w:lang w:val="en-US" w:eastAsia="zh-CN" w:bidi="ar"/>
              </w:rPr>
              <w:t xml:space="preserve">                                                                                                  </w:t>
            </w:r>
          </w:p>
        </w:tc>
      </w:tr>
    </w:tbl>
    <w:p w14:paraId="3E732494"/>
    <w:tbl>
      <w:tblPr>
        <w:tblStyle w:val="6"/>
        <w:tblW w:w="127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8"/>
        <w:gridCol w:w="1892"/>
        <w:gridCol w:w="2208"/>
        <w:gridCol w:w="6375"/>
        <w:gridCol w:w="1343"/>
      </w:tblGrid>
      <w:tr w14:paraId="3A35A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68" w:type="dxa"/>
            <w:tcBorders>
              <w:top w:val="single" w:color="000000" w:sz="4" w:space="0"/>
              <w:left w:val="single" w:color="000000" w:sz="4" w:space="0"/>
              <w:bottom w:val="single" w:color="000000" w:sz="4" w:space="0"/>
              <w:right w:val="single" w:color="000000" w:sz="4" w:space="0"/>
            </w:tcBorders>
            <w:noWrap w:val="0"/>
            <w:vAlign w:val="center"/>
          </w:tcPr>
          <w:p w14:paraId="18817B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序号</w:t>
            </w:r>
          </w:p>
        </w:tc>
        <w:tc>
          <w:tcPr>
            <w:tcW w:w="1892" w:type="dxa"/>
            <w:tcBorders>
              <w:top w:val="single" w:color="000000" w:sz="4" w:space="0"/>
              <w:left w:val="single" w:color="000000" w:sz="4" w:space="0"/>
              <w:bottom w:val="nil"/>
              <w:right w:val="single" w:color="000000" w:sz="4" w:space="0"/>
            </w:tcBorders>
            <w:noWrap w:val="0"/>
            <w:vAlign w:val="center"/>
          </w:tcPr>
          <w:p w14:paraId="7AE93B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问题分类</w:t>
            </w:r>
          </w:p>
        </w:tc>
        <w:tc>
          <w:tcPr>
            <w:tcW w:w="2208" w:type="dxa"/>
            <w:tcBorders>
              <w:top w:val="single" w:color="000000" w:sz="4" w:space="0"/>
              <w:left w:val="single" w:color="000000" w:sz="4" w:space="0"/>
              <w:bottom w:val="nil"/>
              <w:right w:val="single" w:color="000000" w:sz="4" w:space="0"/>
            </w:tcBorders>
            <w:noWrap w:val="0"/>
            <w:vAlign w:val="center"/>
          </w:tcPr>
          <w:p w14:paraId="5A05F8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iCs w:val="0"/>
                <w:color w:val="000000"/>
                <w:sz w:val="24"/>
                <w:szCs w:val="24"/>
                <w:u w:val="none"/>
              </w:rPr>
            </w:pPr>
            <w:r>
              <w:rPr>
                <w:rFonts w:hint="eastAsia" w:eastAsia="方正黑体简体" w:cs="Times New Roman"/>
                <w:i w:val="0"/>
                <w:iCs w:val="0"/>
                <w:color w:val="000000"/>
                <w:kern w:val="0"/>
                <w:sz w:val="24"/>
                <w:szCs w:val="24"/>
                <w:u w:val="none"/>
                <w:lang w:val="en-US" w:eastAsia="zh-CN" w:bidi="ar"/>
              </w:rPr>
              <w:t>主要措施</w:t>
            </w:r>
          </w:p>
        </w:tc>
        <w:tc>
          <w:tcPr>
            <w:tcW w:w="6375" w:type="dxa"/>
            <w:tcBorders>
              <w:top w:val="single" w:color="000000" w:sz="4" w:space="0"/>
              <w:left w:val="single" w:color="000000" w:sz="4" w:space="0"/>
              <w:bottom w:val="single" w:color="000000" w:sz="4" w:space="0"/>
              <w:right w:val="single" w:color="000000" w:sz="4" w:space="0"/>
            </w:tcBorders>
            <w:noWrap w:val="0"/>
            <w:vAlign w:val="center"/>
          </w:tcPr>
          <w:p w14:paraId="62FF43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2A397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iCs w:val="0"/>
                <w:color w:val="000000"/>
                <w:sz w:val="24"/>
                <w:szCs w:val="24"/>
                <w:u w:val="none"/>
              </w:rPr>
            </w:pPr>
            <w:r>
              <w:rPr>
                <w:rFonts w:ascii="方正黑体简体" w:hAnsi="方正黑体简体" w:eastAsia="方正黑体简体" w:cs="方正黑体简体"/>
                <w:i w:val="0"/>
                <w:iCs w:val="0"/>
                <w:color w:val="000000"/>
                <w:kern w:val="0"/>
                <w:sz w:val="24"/>
                <w:szCs w:val="24"/>
                <w:u w:val="none"/>
                <w:lang w:val="en-US" w:eastAsia="zh-CN" w:bidi="ar"/>
              </w:rPr>
              <w:t>备注</w:t>
            </w:r>
          </w:p>
        </w:tc>
      </w:tr>
      <w:tr w14:paraId="7CD4C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2" w:hRule="atLeast"/>
          <w:jc w:val="center"/>
        </w:trPr>
        <w:tc>
          <w:tcPr>
            <w:tcW w:w="968" w:type="dxa"/>
            <w:tcBorders>
              <w:top w:val="single" w:color="000000" w:sz="4" w:space="0"/>
              <w:left w:val="single" w:color="000000" w:sz="4" w:space="0"/>
              <w:bottom w:val="single" w:color="000000" w:sz="4" w:space="0"/>
              <w:right w:val="single" w:color="000000" w:sz="4" w:space="0"/>
            </w:tcBorders>
            <w:noWrap w:val="0"/>
            <w:vAlign w:val="center"/>
          </w:tcPr>
          <w:p w14:paraId="7EBB564F">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w:t>
            </w:r>
          </w:p>
        </w:tc>
        <w:tc>
          <w:tcPr>
            <w:tcW w:w="1892" w:type="dxa"/>
            <w:tcBorders>
              <w:top w:val="single" w:color="000000" w:sz="4" w:space="0"/>
              <w:left w:val="single" w:color="000000" w:sz="4" w:space="0"/>
              <w:bottom w:val="single" w:color="000000" w:sz="4" w:space="0"/>
              <w:right w:val="single" w:color="000000" w:sz="4" w:space="0"/>
            </w:tcBorders>
            <w:noWrap w:val="0"/>
            <w:vAlign w:val="center"/>
          </w:tcPr>
          <w:p w14:paraId="1B35E56A">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1"/>
                <w:szCs w:val="21"/>
                <w:u w:val="none"/>
                <w:lang w:val="en-US" w:eastAsia="zh-CN" w:bidi="ar"/>
              </w:rPr>
              <w:t>一、关于检查巡视巡察、审计等监督</w:t>
            </w:r>
            <w:r>
              <w:rPr>
                <w:rFonts w:hint="eastAsia" w:eastAsia="方正仿宋简体" w:cs="Times New Roman"/>
                <w:i w:val="0"/>
                <w:iCs w:val="0"/>
                <w:color w:val="000000"/>
                <w:kern w:val="0"/>
                <w:sz w:val="21"/>
                <w:szCs w:val="21"/>
                <w:u w:val="none"/>
                <w:lang w:val="en-US" w:eastAsia="zh-CN" w:bidi="ar"/>
              </w:rPr>
              <w:t>反应问题</w:t>
            </w:r>
            <w:r>
              <w:rPr>
                <w:rFonts w:hint="default" w:ascii="Times New Roman" w:hAnsi="Times New Roman" w:eastAsia="方正仿宋简体" w:cs="Times New Roman"/>
                <w:i w:val="0"/>
                <w:iCs w:val="0"/>
                <w:color w:val="000000"/>
                <w:kern w:val="0"/>
                <w:sz w:val="21"/>
                <w:szCs w:val="21"/>
                <w:u w:val="none"/>
                <w:lang w:val="en-US" w:eastAsia="zh-CN" w:bidi="ar"/>
              </w:rPr>
              <w:t>方面的整改进展情况</w:t>
            </w:r>
          </w:p>
        </w:tc>
        <w:tc>
          <w:tcPr>
            <w:tcW w:w="2208" w:type="dxa"/>
            <w:tcBorders>
              <w:top w:val="single" w:color="000000" w:sz="4" w:space="0"/>
              <w:left w:val="single" w:color="000000" w:sz="4" w:space="0"/>
              <w:bottom w:val="single" w:color="000000" w:sz="4" w:space="0"/>
              <w:right w:val="single" w:color="000000" w:sz="4" w:space="0"/>
            </w:tcBorders>
            <w:noWrap w:val="0"/>
            <w:vAlign w:val="center"/>
          </w:tcPr>
          <w:p w14:paraId="746E9E09">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扛牢整改责任</w:t>
            </w:r>
          </w:p>
        </w:tc>
        <w:tc>
          <w:tcPr>
            <w:tcW w:w="6375" w:type="dxa"/>
            <w:tcBorders>
              <w:top w:val="single" w:color="000000" w:sz="4" w:space="0"/>
              <w:left w:val="single" w:color="000000" w:sz="4" w:space="0"/>
              <w:bottom w:val="single" w:color="000000" w:sz="4" w:space="0"/>
              <w:right w:val="single" w:color="000000" w:sz="4" w:space="0"/>
            </w:tcBorders>
            <w:noWrap w:val="0"/>
            <w:vAlign w:val="center"/>
          </w:tcPr>
          <w:p w14:paraId="4BF4B196">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一是成立了村级巡察整改工作专班，明确整改责任，对问题整改情况、进度、存在困难制定具体工作措施。二是在巡察问题整改中，做到举一反三抓整改，加强村</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规范会议记录，及时完善会议记录。</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A14798D">
            <w:pPr>
              <w:jc w:val="center"/>
              <w:rPr>
                <w:rFonts w:hint="default" w:ascii="Times New Roman" w:hAnsi="Times New Roman" w:eastAsia="宋体" w:cs="Times New Roman"/>
                <w:i w:val="0"/>
                <w:iCs w:val="0"/>
                <w:color w:val="000000"/>
                <w:sz w:val="24"/>
                <w:szCs w:val="24"/>
                <w:u w:val="none"/>
              </w:rPr>
            </w:pPr>
          </w:p>
        </w:tc>
      </w:tr>
      <w:tr w14:paraId="29A18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jc w:val="center"/>
        </w:trPr>
        <w:tc>
          <w:tcPr>
            <w:tcW w:w="968" w:type="dxa"/>
            <w:tcBorders>
              <w:top w:val="single" w:color="000000" w:sz="4" w:space="0"/>
              <w:left w:val="single" w:color="000000" w:sz="4" w:space="0"/>
              <w:bottom w:val="single" w:color="000000" w:sz="4" w:space="0"/>
              <w:right w:val="single" w:color="000000" w:sz="4" w:space="0"/>
            </w:tcBorders>
            <w:noWrap w:val="0"/>
            <w:vAlign w:val="center"/>
          </w:tcPr>
          <w:p w14:paraId="49D49B4C">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w:t>
            </w:r>
          </w:p>
        </w:tc>
        <w:tc>
          <w:tcPr>
            <w:tcW w:w="1892" w:type="dxa"/>
            <w:vMerge w:val="restart"/>
            <w:tcBorders>
              <w:top w:val="single" w:color="000000" w:sz="4" w:space="0"/>
              <w:left w:val="single" w:color="000000" w:sz="4" w:space="0"/>
              <w:bottom w:val="single" w:color="000000" w:sz="4" w:space="0"/>
              <w:right w:val="single" w:color="000000" w:sz="4" w:space="0"/>
            </w:tcBorders>
            <w:noWrap w:val="0"/>
            <w:vAlign w:val="center"/>
          </w:tcPr>
          <w:p w14:paraId="7017C943">
            <w:pPr>
              <w:keepNext w:val="0"/>
              <w:keepLines w:val="0"/>
              <w:widowControl/>
              <w:suppressLineNumbers w:val="0"/>
              <w:ind w:left="0" w:leftChars="0" w:right="0" w:rightChars="0"/>
              <w:jc w:val="both"/>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19"/>
                <w:szCs w:val="19"/>
                <w:u w:val="none"/>
                <w:lang w:val="en-US" w:eastAsia="zh-CN" w:bidi="ar"/>
              </w:rPr>
              <w:t>二、关于检查学习贯彻习近平新时代中国特色社会主义思想和党的二十大和二十届二中、三中全会精神，加强政治建设方面的整改进展情况</w:t>
            </w:r>
          </w:p>
        </w:tc>
        <w:tc>
          <w:tcPr>
            <w:tcW w:w="2208" w:type="dxa"/>
            <w:tcBorders>
              <w:top w:val="single" w:color="000000" w:sz="4" w:space="0"/>
              <w:left w:val="single" w:color="000000" w:sz="4" w:space="0"/>
              <w:bottom w:val="single" w:color="000000" w:sz="4" w:space="0"/>
              <w:right w:val="single" w:color="000000" w:sz="4" w:space="0"/>
            </w:tcBorders>
            <w:noWrap w:val="0"/>
            <w:vAlign w:val="center"/>
          </w:tcPr>
          <w:p w14:paraId="52C3A1E5">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1.加强政治理论学习</w:t>
            </w:r>
          </w:p>
        </w:tc>
        <w:tc>
          <w:tcPr>
            <w:tcW w:w="6375" w:type="dxa"/>
            <w:tcBorders>
              <w:top w:val="single" w:color="000000" w:sz="4" w:space="0"/>
              <w:left w:val="single" w:color="000000" w:sz="4" w:space="0"/>
              <w:bottom w:val="single" w:color="000000" w:sz="4" w:space="0"/>
              <w:right w:val="single" w:color="000000" w:sz="4" w:space="0"/>
            </w:tcBorders>
            <w:noWrap w:val="0"/>
            <w:vAlign w:val="center"/>
          </w:tcPr>
          <w:p w14:paraId="2B554799">
            <w:pPr>
              <w:keepNext w:val="0"/>
              <w:keepLines w:val="0"/>
              <w:widowControl/>
              <w:suppressLineNumbers w:val="0"/>
              <w:ind w:left="0" w:leftChars="0" w:right="0" w:rightChars="0"/>
              <w:jc w:val="both"/>
              <w:textAlignment w:val="center"/>
              <w:rPr>
                <w:rFonts w:hint="eastAsia" w:ascii="方正仿宋简体" w:hAnsi="方正仿宋简体" w:eastAsia="方正仿宋简体" w:cs="方正仿宋简体"/>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一是严格执行</w:t>
            </w:r>
            <w:r>
              <w:rPr>
                <w:rFonts w:hint="eastAsia" w:eastAsia="方正仿宋简体"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第一议题</w:t>
            </w:r>
            <w:r>
              <w:rPr>
                <w:rFonts w:hint="eastAsia" w:eastAsia="方正仿宋简体"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制度，定期召开村</w:t>
            </w:r>
            <w:r>
              <w:rPr>
                <w:rFonts w:hint="eastAsia" w:eastAsia="方正仿宋简体"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eastAsia="方正仿宋简体"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及驻村工作队周例会。二是利用</w:t>
            </w:r>
            <w:r>
              <w:rPr>
                <w:rFonts w:hint="eastAsia" w:eastAsia="方正仿宋简体"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三会一课</w:t>
            </w:r>
            <w:r>
              <w:rPr>
                <w:rFonts w:hint="eastAsia" w:eastAsia="方正仿宋简体"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、主题党日、组干部会、群众会等契机，组织学习。</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F22E2AA">
            <w:pPr>
              <w:jc w:val="center"/>
              <w:rPr>
                <w:rFonts w:hint="default" w:ascii="Times New Roman" w:hAnsi="Times New Roman" w:eastAsia="宋体" w:cs="Times New Roman"/>
                <w:i w:val="0"/>
                <w:iCs w:val="0"/>
                <w:color w:val="000000"/>
                <w:sz w:val="24"/>
                <w:szCs w:val="24"/>
                <w:u w:val="none"/>
              </w:rPr>
            </w:pPr>
          </w:p>
        </w:tc>
      </w:tr>
      <w:tr w14:paraId="0F4D6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jc w:val="center"/>
        </w:trPr>
        <w:tc>
          <w:tcPr>
            <w:tcW w:w="968" w:type="dxa"/>
            <w:tcBorders>
              <w:top w:val="single" w:color="000000" w:sz="4" w:space="0"/>
              <w:left w:val="single" w:color="000000" w:sz="4" w:space="0"/>
              <w:bottom w:val="single" w:color="000000" w:sz="4" w:space="0"/>
              <w:right w:val="single" w:color="000000" w:sz="4" w:space="0"/>
            </w:tcBorders>
            <w:noWrap w:val="0"/>
            <w:vAlign w:val="center"/>
          </w:tcPr>
          <w:p w14:paraId="4B17E5A6">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3</w:t>
            </w:r>
          </w:p>
        </w:tc>
        <w:tc>
          <w:tcPr>
            <w:tcW w:w="18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437D9C">
            <w:pPr>
              <w:rPr>
                <w:rFonts w:hint="default" w:ascii="Times New Roman" w:hAnsi="Times New Roman" w:eastAsia="方正仿宋简体" w:cs="Times New Roman"/>
                <w:i w:val="0"/>
                <w:iCs w:val="0"/>
                <w:color w:val="000000"/>
                <w:sz w:val="22"/>
                <w:szCs w:val="22"/>
                <w:u w:val="none"/>
              </w:rPr>
            </w:pPr>
          </w:p>
        </w:tc>
        <w:tc>
          <w:tcPr>
            <w:tcW w:w="22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6635502">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2.严格管理意识形态阵地</w:t>
            </w:r>
          </w:p>
        </w:tc>
        <w:tc>
          <w:tcPr>
            <w:tcW w:w="6375" w:type="dxa"/>
            <w:tcBorders>
              <w:top w:val="single" w:color="000000" w:sz="4" w:space="0"/>
              <w:left w:val="single" w:color="000000" w:sz="4" w:space="0"/>
              <w:bottom w:val="single" w:color="000000" w:sz="4" w:space="0"/>
              <w:right w:val="single" w:color="000000" w:sz="4" w:space="0"/>
            </w:tcBorders>
            <w:noWrap w:val="0"/>
            <w:vAlign w:val="center"/>
          </w:tcPr>
          <w:p w14:paraId="05C1B52C">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组织协调活动室安装旗杆事宜，及时对未悬挂国旗小组进行国旗悬挂；已明确小组干部进行小组活动场所日常管理使用，对出现类似问题及时进行组织整改。</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E2C0BED">
            <w:pPr>
              <w:jc w:val="center"/>
              <w:rPr>
                <w:rFonts w:hint="default" w:ascii="Times New Roman" w:hAnsi="Times New Roman" w:eastAsia="宋体" w:cs="Times New Roman"/>
                <w:i w:val="0"/>
                <w:iCs w:val="0"/>
                <w:color w:val="000000"/>
                <w:sz w:val="24"/>
                <w:szCs w:val="24"/>
                <w:u w:val="none"/>
              </w:rPr>
            </w:pPr>
          </w:p>
        </w:tc>
      </w:tr>
      <w:tr w14:paraId="1A616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jc w:val="center"/>
        </w:trPr>
        <w:tc>
          <w:tcPr>
            <w:tcW w:w="968" w:type="dxa"/>
            <w:tcBorders>
              <w:top w:val="single" w:color="000000" w:sz="4" w:space="0"/>
              <w:left w:val="single" w:color="000000" w:sz="4" w:space="0"/>
              <w:bottom w:val="single" w:color="000000" w:sz="4" w:space="0"/>
              <w:right w:val="single" w:color="000000" w:sz="4" w:space="0"/>
            </w:tcBorders>
            <w:noWrap w:val="0"/>
            <w:vAlign w:val="center"/>
          </w:tcPr>
          <w:p w14:paraId="28059BE1">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4</w:t>
            </w:r>
          </w:p>
        </w:tc>
        <w:tc>
          <w:tcPr>
            <w:tcW w:w="18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30779">
            <w:pPr>
              <w:rPr>
                <w:rFonts w:hint="default" w:ascii="Times New Roman" w:hAnsi="Times New Roman" w:eastAsia="方正仿宋简体" w:cs="Times New Roman"/>
                <w:i w:val="0"/>
                <w:iCs w:val="0"/>
                <w:color w:val="000000"/>
                <w:sz w:val="22"/>
                <w:szCs w:val="22"/>
                <w:u w:val="none"/>
              </w:rPr>
            </w:pPr>
          </w:p>
        </w:tc>
        <w:tc>
          <w:tcPr>
            <w:tcW w:w="22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F4BF5A">
            <w:pPr>
              <w:rPr>
                <w:rFonts w:hint="default" w:ascii="Times New Roman" w:hAnsi="Times New Roman" w:eastAsia="方正仿宋简体" w:cs="Times New Roman"/>
                <w:i w:val="0"/>
                <w:iCs w:val="0"/>
                <w:color w:val="000000"/>
                <w:sz w:val="22"/>
                <w:szCs w:val="22"/>
                <w:u w:val="none"/>
              </w:rPr>
            </w:pPr>
          </w:p>
        </w:tc>
        <w:tc>
          <w:tcPr>
            <w:tcW w:w="6375" w:type="dxa"/>
            <w:tcBorders>
              <w:top w:val="single" w:color="000000" w:sz="4" w:space="0"/>
              <w:left w:val="single" w:color="000000" w:sz="4" w:space="0"/>
              <w:bottom w:val="single" w:color="000000" w:sz="4" w:space="0"/>
              <w:right w:val="single" w:color="000000" w:sz="4" w:space="0"/>
            </w:tcBorders>
            <w:noWrap w:val="0"/>
            <w:vAlign w:val="center"/>
          </w:tcPr>
          <w:p w14:paraId="336C9201">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修复破损的小组活动室；已明确小组干部进行小组活动场所日常管理使用，加大对小组活动室脏、乱、差的清理，定期开展检查通报。</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2B7DE1F">
            <w:pPr>
              <w:jc w:val="center"/>
              <w:rPr>
                <w:rFonts w:hint="default" w:ascii="Times New Roman" w:hAnsi="Times New Roman" w:eastAsia="宋体" w:cs="Times New Roman"/>
                <w:i w:val="0"/>
                <w:iCs w:val="0"/>
                <w:color w:val="000000"/>
                <w:sz w:val="24"/>
                <w:szCs w:val="24"/>
                <w:u w:val="none"/>
              </w:rPr>
            </w:pPr>
          </w:p>
        </w:tc>
      </w:tr>
      <w:tr w14:paraId="0A349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jc w:val="center"/>
        </w:trPr>
        <w:tc>
          <w:tcPr>
            <w:tcW w:w="968" w:type="dxa"/>
            <w:tcBorders>
              <w:top w:val="single" w:color="000000" w:sz="4" w:space="0"/>
              <w:left w:val="single" w:color="000000" w:sz="4" w:space="0"/>
              <w:bottom w:val="single" w:color="000000" w:sz="4" w:space="0"/>
              <w:right w:val="single" w:color="000000" w:sz="4" w:space="0"/>
            </w:tcBorders>
            <w:noWrap w:val="0"/>
            <w:vAlign w:val="center"/>
          </w:tcPr>
          <w:p w14:paraId="36394B79">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5</w:t>
            </w:r>
          </w:p>
        </w:tc>
        <w:tc>
          <w:tcPr>
            <w:tcW w:w="18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AB6C6">
            <w:pPr>
              <w:rPr>
                <w:rFonts w:hint="default" w:ascii="Times New Roman" w:hAnsi="Times New Roman" w:eastAsia="方正仿宋简体" w:cs="Times New Roman"/>
                <w:i w:val="0"/>
                <w:iCs w:val="0"/>
                <w:color w:val="000000"/>
                <w:sz w:val="22"/>
                <w:szCs w:val="22"/>
                <w:u w:val="none"/>
              </w:rPr>
            </w:pPr>
          </w:p>
        </w:tc>
        <w:tc>
          <w:tcPr>
            <w:tcW w:w="22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5A9393">
            <w:pPr>
              <w:rPr>
                <w:rFonts w:hint="default" w:ascii="Times New Roman" w:hAnsi="Times New Roman" w:eastAsia="方正仿宋简体" w:cs="Times New Roman"/>
                <w:i w:val="0"/>
                <w:iCs w:val="0"/>
                <w:color w:val="000000"/>
                <w:sz w:val="22"/>
                <w:szCs w:val="22"/>
                <w:u w:val="none"/>
              </w:rPr>
            </w:pPr>
          </w:p>
        </w:tc>
        <w:tc>
          <w:tcPr>
            <w:tcW w:w="6375" w:type="dxa"/>
            <w:tcBorders>
              <w:top w:val="single" w:color="000000" w:sz="4" w:space="0"/>
              <w:left w:val="single" w:color="000000" w:sz="4" w:space="0"/>
              <w:bottom w:val="single" w:color="000000" w:sz="4" w:space="0"/>
              <w:right w:val="single" w:color="000000" w:sz="4" w:space="0"/>
            </w:tcBorders>
            <w:noWrap w:val="0"/>
            <w:vAlign w:val="center"/>
          </w:tcPr>
          <w:p w14:paraId="0865690A">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组织村</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成员对农家书屋进行整理，按要求分类上架；指定专人进行管理，做好群众借阅登记，图书规范管理。</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48A6FDD">
            <w:pPr>
              <w:jc w:val="center"/>
              <w:rPr>
                <w:rFonts w:hint="default" w:ascii="Times New Roman" w:hAnsi="Times New Roman" w:eastAsia="宋体" w:cs="Times New Roman"/>
                <w:i w:val="0"/>
                <w:iCs w:val="0"/>
                <w:color w:val="000000"/>
                <w:sz w:val="24"/>
                <w:szCs w:val="24"/>
                <w:u w:val="none"/>
              </w:rPr>
            </w:pPr>
          </w:p>
        </w:tc>
      </w:tr>
    </w:tbl>
    <w:p w14:paraId="38953161"/>
    <w:tbl>
      <w:tblPr>
        <w:tblStyle w:val="6"/>
        <w:tblW w:w="127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8"/>
        <w:gridCol w:w="1892"/>
        <w:gridCol w:w="2208"/>
        <w:gridCol w:w="6375"/>
        <w:gridCol w:w="1343"/>
      </w:tblGrid>
      <w:tr w14:paraId="3AA6F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2" w:hRule="atLeast"/>
          <w:jc w:val="center"/>
        </w:trPr>
        <w:tc>
          <w:tcPr>
            <w:tcW w:w="968" w:type="dxa"/>
            <w:tcBorders>
              <w:tl2br w:val="nil"/>
              <w:tr2bl w:val="nil"/>
            </w:tcBorders>
            <w:noWrap w:val="0"/>
            <w:vAlign w:val="center"/>
          </w:tcPr>
          <w:p w14:paraId="4390BE01">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6</w:t>
            </w:r>
          </w:p>
        </w:tc>
        <w:tc>
          <w:tcPr>
            <w:tcW w:w="1892" w:type="dxa"/>
            <w:vMerge w:val="restart"/>
            <w:tcBorders>
              <w:tl2br w:val="nil"/>
              <w:tr2bl w:val="nil"/>
            </w:tcBorders>
            <w:noWrap w:val="0"/>
            <w:vAlign w:val="center"/>
          </w:tcPr>
          <w:p w14:paraId="48AC5569">
            <w:pP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19"/>
                <w:szCs w:val="19"/>
                <w:u w:val="none"/>
                <w:lang w:val="en-US" w:eastAsia="zh-CN" w:bidi="ar"/>
              </w:rPr>
              <w:t>二、关于检查学习贯彻习近平新时代中国特色社会主义思想和党的二十大和二十届二中、三中全会精神，加强政治建设方面的整改进展情况</w:t>
            </w:r>
          </w:p>
        </w:tc>
        <w:tc>
          <w:tcPr>
            <w:tcW w:w="2208" w:type="dxa"/>
            <w:tcBorders>
              <w:tl2br w:val="nil"/>
              <w:tr2bl w:val="nil"/>
            </w:tcBorders>
            <w:noWrap w:val="0"/>
            <w:vAlign w:val="center"/>
          </w:tcPr>
          <w:p w14:paraId="25B8030C">
            <w:pP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2.严格管理意识形态阵地</w:t>
            </w:r>
          </w:p>
        </w:tc>
        <w:tc>
          <w:tcPr>
            <w:tcW w:w="6375" w:type="dxa"/>
            <w:tcBorders>
              <w:tl2br w:val="nil"/>
              <w:tr2bl w:val="nil"/>
            </w:tcBorders>
            <w:noWrap w:val="0"/>
            <w:vAlign w:val="center"/>
          </w:tcPr>
          <w:p w14:paraId="49D44BA6">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规范活动开展。加强对文明实践活动的统筹规划，按月开展时代文明实践活动，并在公示栏公布</w:t>
            </w:r>
            <w:r>
              <w:rPr>
                <w:rFonts w:hint="default" w:ascii="Times New Roman" w:hAnsi="Times New Roman" w:eastAsia="宋体" w:cs="Times New Roman"/>
                <w:b w:val="0"/>
                <w:bCs w:val="0"/>
                <w:i w:val="0"/>
                <w:iCs w:val="0"/>
                <w:color w:val="000000"/>
                <w:kern w:val="0"/>
                <w:sz w:val="22"/>
                <w:szCs w:val="22"/>
                <w:u w:val="none"/>
                <w:lang w:val="en-US" w:eastAsia="zh-CN" w:bidi="ar"/>
              </w:rPr>
              <w:t>2025</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年活动计划和内容，确保群众能够及时了解相关信息；创新活动和志愿服务形式，采用多样化的方式开展活动，广泛宣传新时代文明实践活动的意义、内容和成效，增强活动的吸引力和趣味性，提高群众的知晓度和参与度。</w:t>
            </w:r>
          </w:p>
        </w:tc>
        <w:tc>
          <w:tcPr>
            <w:tcW w:w="1343" w:type="dxa"/>
            <w:tcBorders>
              <w:tl2br w:val="nil"/>
              <w:tr2bl w:val="nil"/>
            </w:tcBorders>
            <w:noWrap w:val="0"/>
            <w:vAlign w:val="center"/>
          </w:tcPr>
          <w:p w14:paraId="68B64CB1">
            <w:pPr>
              <w:jc w:val="center"/>
              <w:rPr>
                <w:rFonts w:hint="default" w:ascii="Times New Roman" w:hAnsi="Times New Roman" w:eastAsia="宋体" w:cs="Times New Roman"/>
                <w:i w:val="0"/>
                <w:iCs w:val="0"/>
                <w:color w:val="000000"/>
                <w:sz w:val="24"/>
                <w:szCs w:val="24"/>
                <w:u w:val="none"/>
              </w:rPr>
            </w:pPr>
          </w:p>
        </w:tc>
      </w:tr>
      <w:tr w14:paraId="2B8E2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5" w:hRule="atLeast"/>
          <w:jc w:val="center"/>
        </w:trPr>
        <w:tc>
          <w:tcPr>
            <w:tcW w:w="968" w:type="dxa"/>
            <w:tcBorders>
              <w:tl2br w:val="nil"/>
              <w:tr2bl w:val="nil"/>
            </w:tcBorders>
            <w:noWrap w:val="0"/>
            <w:vAlign w:val="center"/>
          </w:tcPr>
          <w:p w14:paraId="3EDF3CE1">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7</w:t>
            </w:r>
          </w:p>
        </w:tc>
        <w:tc>
          <w:tcPr>
            <w:tcW w:w="1892" w:type="dxa"/>
            <w:vMerge w:val="continue"/>
            <w:tcBorders>
              <w:tl2br w:val="nil"/>
              <w:tr2bl w:val="nil"/>
            </w:tcBorders>
            <w:noWrap w:val="0"/>
            <w:vAlign w:val="center"/>
          </w:tcPr>
          <w:p w14:paraId="41957C82">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p>
        </w:tc>
        <w:tc>
          <w:tcPr>
            <w:tcW w:w="2208" w:type="dxa"/>
            <w:vMerge w:val="restart"/>
            <w:tcBorders>
              <w:tl2br w:val="nil"/>
              <w:tr2bl w:val="nil"/>
            </w:tcBorders>
            <w:noWrap w:val="0"/>
            <w:vAlign w:val="center"/>
          </w:tcPr>
          <w:p w14:paraId="2A44AB9A">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.加强落实惠民殡葬奖补政策</w:t>
            </w:r>
          </w:p>
        </w:tc>
        <w:tc>
          <w:tcPr>
            <w:tcW w:w="6375" w:type="dxa"/>
            <w:tcBorders>
              <w:tl2br w:val="nil"/>
              <w:tr2bl w:val="nil"/>
            </w:tcBorders>
            <w:noWrap w:val="0"/>
            <w:vAlign w:val="center"/>
          </w:tcPr>
          <w:p w14:paraId="0AC3591B">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加强组干部学习，重点对《普洱市惠民殡葬奖补实施办法》等进行学习解读，建立各类支农惠农政策的宣传制度措施，明确宣传责任人；加大惠民殡葬奖补政策宣传，利用村组干部会、群众会，入户宣传等进行宣传各类惠民政策，及时纠正群众对政策的错误理解，纠正了前期错误理解。</w:t>
            </w:r>
          </w:p>
        </w:tc>
        <w:tc>
          <w:tcPr>
            <w:tcW w:w="1343" w:type="dxa"/>
            <w:tcBorders>
              <w:tl2br w:val="nil"/>
              <w:tr2bl w:val="nil"/>
            </w:tcBorders>
            <w:noWrap w:val="0"/>
            <w:vAlign w:val="center"/>
          </w:tcPr>
          <w:p w14:paraId="4E26F136">
            <w:pPr>
              <w:jc w:val="center"/>
              <w:rPr>
                <w:rFonts w:hint="default" w:ascii="Times New Roman" w:hAnsi="Times New Roman" w:eastAsia="宋体" w:cs="Times New Roman"/>
                <w:i w:val="0"/>
                <w:iCs w:val="0"/>
                <w:color w:val="000000"/>
                <w:sz w:val="24"/>
                <w:szCs w:val="24"/>
                <w:u w:val="none"/>
              </w:rPr>
            </w:pPr>
          </w:p>
        </w:tc>
      </w:tr>
      <w:tr w14:paraId="60EB6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968" w:type="dxa"/>
            <w:tcBorders>
              <w:tl2br w:val="nil"/>
              <w:tr2bl w:val="nil"/>
            </w:tcBorders>
            <w:noWrap w:val="0"/>
            <w:vAlign w:val="center"/>
          </w:tcPr>
          <w:p w14:paraId="6A162553">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8</w:t>
            </w:r>
          </w:p>
        </w:tc>
        <w:tc>
          <w:tcPr>
            <w:tcW w:w="1892" w:type="dxa"/>
            <w:vMerge w:val="continue"/>
            <w:tcBorders>
              <w:tl2br w:val="nil"/>
              <w:tr2bl w:val="nil"/>
            </w:tcBorders>
            <w:noWrap w:val="0"/>
            <w:vAlign w:val="center"/>
          </w:tcPr>
          <w:p w14:paraId="27D19133">
            <w:pPr>
              <w:rPr>
                <w:rFonts w:hint="default" w:ascii="Times New Roman" w:hAnsi="Times New Roman" w:eastAsia="方正仿宋简体" w:cs="Times New Roman"/>
                <w:i w:val="0"/>
                <w:iCs w:val="0"/>
                <w:color w:val="000000"/>
                <w:sz w:val="22"/>
                <w:szCs w:val="22"/>
                <w:u w:val="none"/>
              </w:rPr>
            </w:pPr>
          </w:p>
        </w:tc>
        <w:tc>
          <w:tcPr>
            <w:tcW w:w="2208" w:type="dxa"/>
            <w:vMerge w:val="continue"/>
            <w:tcBorders>
              <w:tl2br w:val="nil"/>
              <w:tr2bl w:val="nil"/>
            </w:tcBorders>
            <w:noWrap w:val="0"/>
            <w:vAlign w:val="center"/>
          </w:tcPr>
          <w:p w14:paraId="1616C71A">
            <w:pPr>
              <w:rPr>
                <w:rFonts w:hint="default" w:ascii="Times New Roman" w:hAnsi="Times New Roman" w:eastAsia="方正仿宋简体" w:cs="Times New Roman"/>
                <w:i w:val="0"/>
                <w:iCs w:val="0"/>
                <w:color w:val="000000"/>
                <w:sz w:val="22"/>
                <w:szCs w:val="22"/>
                <w:u w:val="none"/>
              </w:rPr>
            </w:pPr>
          </w:p>
        </w:tc>
        <w:tc>
          <w:tcPr>
            <w:tcW w:w="6375" w:type="dxa"/>
            <w:tcBorders>
              <w:tl2br w:val="nil"/>
              <w:tr2bl w:val="nil"/>
            </w:tcBorders>
            <w:noWrap w:val="0"/>
            <w:vAlign w:val="center"/>
          </w:tcPr>
          <w:p w14:paraId="2C5C8533">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已对不符合享受政策人员进行资金追回，并存入指定资金账户，对相关人员教育提醒；加强各类惠民补助资金审核把关，加强业务人员能力提升，工作上再认真、细心。</w:t>
            </w:r>
          </w:p>
        </w:tc>
        <w:tc>
          <w:tcPr>
            <w:tcW w:w="1343" w:type="dxa"/>
            <w:tcBorders>
              <w:tl2br w:val="nil"/>
              <w:tr2bl w:val="nil"/>
            </w:tcBorders>
            <w:noWrap w:val="0"/>
            <w:vAlign w:val="center"/>
          </w:tcPr>
          <w:p w14:paraId="76B268CF">
            <w:pPr>
              <w:jc w:val="center"/>
              <w:rPr>
                <w:rFonts w:hint="default" w:ascii="Times New Roman" w:hAnsi="Times New Roman" w:eastAsia="宋体" w:cs="Times New Roman"/>
                <w:i w:val="0"/>
                <w:iCs w:val="0"/>
                <w:color w:val="000000"/>
                <w:sz w:val="24"/>
                <w:szCs w:val="24"/>
                <w:u w:val="none"/>
              </w:rPr>
            </w:pPr>
          </w:p>
        </w:tc>
      </w:tr>
      <w:tr w14:paraId="6ACB7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4" w:hRule="atLeast"/>
          <w:jc w:val="center"/>
        </w:trPr>
        <w:tc>
          <w:tcPr>
            <w:tcW w:w="968" w:type="dxa"/>
            <w:tcBorders>
              <w:tl2br w:val="nil"/>
              <w:tr2bl w:val="nil"/>
            </w:tcBorders>
            <w:noWrap w:val="0"/>
            <w:vAlign w:val="center"/>
          </w:tcPr>
          <w:p w14:paraId="451155EA">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9</w:t>
            </w:r>
          </w:p>
        </w:tc>
        <w:tc>
          <w:tcPr>
            <w:tcW w:w="1892" w:type="dxa"/>
            <w:vMerge w:val="continue"/>
            <w:tcBorders>
              <w:tl2br w:val="nil"/>
              <w:tr2bl w:val="nil"/>
            </w:tcBorders>
            <w:noWrap w:val="0"/>
            <w:vAlign w:val="center"/>
          </w:tcPr>
          <w:p w14:paraId="45100047">
            <w:pPr>
              <w:rPr>
                <w:rFonts w:hint="default" w:ascii="Times New Roman" w:hAnsi="Times New Roman" w:eastAsia="方正仿宋简体" w:cs="Times New Roman"/>
                <w:i w:val="0"/>
                <w:iCs w:val="0"/>
                <w:color w:val="000000"/>
                <w:sz w:val="22"/>
                <w:szCs w:val="22"/>
                <w:u w:val="none"/>
              </w:rPr>
            </w:pPr>
          </w:p>
        </w:tc>
        <w:tc>
          <w:tcPr>
            <w:tcW w:w="2208" w:type="dxa"/>
            <w:tcBorders>
              <w:tl2br w:val="nil"/>
              <w:tr2bl w:val="nil"/>
            </w:tcBorders>
            <w:noWrap w:val="0"/>
            <w:vAlign w:val="center"/>
          </w:tcPr>
          <w:p w14:paraId="10285F5A">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4</w:t>
            </w:r>
            <w:r>
              <w:rPr>
                <w:rFonts w:hint="default" w:ascii="Times New Roman" w:hAnsi="Times New Roman" w:eastAsia="方正仿宋简体" w:cs="Times New Roman"/>
                <w:i w:val="0"/>
                <w:iCs w:val="0"/>
                <w:color w:val="000000"/>
                <w:kern w:val="0"/>
                <w:sz w:val="22"/>
                <w:szCs w:val="22"/>
                <w:u w:val="none"/>
                <w:lang w:val="en-US" w:eastAsia="zh-CN" w:bidi="ar"/>
              </w:rPr>
              <w:t>.持续整治养殖小区闲置</w:t>
            </w:r>
          </w:p>
        </w:tc>
        <w:tc>
          <w:tcPr>
            <w:tcW w:w="6375" w:type="dxa"/>
            <w:tcBorders>
              <w:tl2br w:val="nil"/>
              <w:tr2bl w:val="nil"/>
            </w:tcBorders>
            <w:noWrap w:val="0"/>
            <w:vAlign w:val="center"/>
          </w:tcPr>
          <w:p w14:paraId="3AB8F6E8">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做好群众思想工作，入户动员农户进行养殖，结合农户实际情况督促农户进行猪、羊、禽类等养殖，最大化进行使用。二是进行招商引资，出租养殖小区，并选择有一定经济实力愿意投资的企业、个人进行规模养殖，并收取资产出租费用。</w:t>
            </w:r>
          </w:p>
        </w:tc>
        <w:tc>
          <w:tcPr>
            <w:tcW w:w="1343" w:type="dxa"/>
            <w:tcBorders>
              <w:tl2br w:val="nil"/>
              <w:tr2bl w:val="nil"/>
            </w:tcBorders>
            <w:noWrap w:val="0"/>
            <w:vAlign w:val="center"/>
          </w:tcPr>
          <w:p w14:paraId="09CA75D8">
            <w:pPr>
              <w:jc w:val="center"/>
              <w:rPr>
                <w:rFonts w:hint="default" w:ascii="Times New Roman" w:hAnsi="Times New Roman" w:eastAsia="宋体" w:cs="Times New Roman"/>
                <w:i w:val="0"/>
                <w:iCs w:val="0"/>
                <w:color w:val="000000"/>
                <w:sz w:val="24"/>
                <w:szCs w:val="24"/>
                <w:u w:val="none"/>
              </w:rPr>
            </w:pPr>
          </w:p>
        </w:tc>
      </w:tr>
    </w:tbl>
    <w:p w14:paraId="3F71578E"/>
    <w:tbl>
      <w:tblPr>
        <w:tblStyle w:val="6"/>
        <w:tblW w:w="127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8"/>
        <w:gridCol w:w="1892"/>
        <w:gridCol w:w="2208"/>
        <w:gridCol w:w="6375"/>
        <w:gridCol w:w="1343"/>
      </w:tblGrid>
      <w:tr w14:paraId="3F7D8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968" w:type="dxa"/>
            <w:tcBorders>
              <w:tl2br w:val="nil"/>
              <w:tr2bl w:val="nil"/>
            </w:tcBorders>
            <w:noWrap w:val="0"/>
            <w:vAlign w:val="center"/>
          </w:tcPr>
          <w:p w14:paraId="4DC96B55">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10</w:t>
            </w:r>
          </w:p>
        </w:tc>
        <w:tc>
          <w:tcPr>
            <w:tcW w:w="1892" w:type="dxa"/>
            <w:vMerge w:val="restart"/>
            <w:tcBorders>
              <w:tl2br w:val="nil"/>
              <w:tr2bl w:val="nil"/>
            </w:tcBorders>
            <w:noWrap w:val="0"/>
            <w:vAlign w:val="center"/>
          </w:tcPr>
          <w:p w14:paraId="1B6FB1B5">
            <w:pP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19"/>
                <w:szCs w:val="19"/>
                <w:u w:val="none"/>
                <w:lang w:val="en-US" w:eastAsia="zh-CN" w:bidi="ar"/>
              </w:rPr>
              <w:t>二、关于检查学习贯彻习近平新时代中国特色社会主义思想和党的二十大和二十届二中、三中全会精神，加强政治建设方面的整改进展情况</w:t>
            </w:r>
          </w:p>
        </w:tc>
        <w:tc>
          <w:tcPr>
            <w:tcW w:w="2208" w:type="dxa"/>
            <w:tcBorders>
              <w:tl2br w:val="nil"/>
              <w:tr2bl w:val="nil"/>
            </w:tcBorders>
            <w:noWrap w:val="0"/>
            <w:vAlign w:val="center"/>
          </w:tcPr>
          <w:p w14:paraId="235E5249">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5</w:t>
            </w:r>
            <w:r>
              <w:rPr>
                <w:rFonts w:hint="default" w:ascii="Times New Roman" w:hAnsi="Times New Roman" w:eastAsia="方正仿宋简体" w:cs="Times New Roman"/>
                <w:i w:val="0"/>
                <w:iCs w:val="0"/>
                <w:color w:val="000000"/>
                <w:kern w:val="0"/>
                <w:sz w:val="22"/>
                <w:szCs w:val="22"/>
                <w:u w:val="none"/>
                <w:lang w:val="en-US" w:eastAsia="zh-CN" w:bidi="ar"/>
              </w:rPr>
              <w:t>.持续治理人居环境</w:t>
            </w:r>
          </w:p>
        </w:tc>
        <w:tc>
          <w:tcPr>
            <w:tcW w:w="6375" w:type="dxa"/>
            <w:tcBorders>
              <w:tl2br w:val="nil"/>
              <w:tr2bl w:val="nil"/>
            </w:tcBorders>
            <w:noWrap w:val="0"/>
            <w:vAlign w:val="center"/>
          </w:tcPr>
          <w:p w14:paraId="159FE48A">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一是对垃圾堆点进行填埋、焚烧，禁止对该点进行堆放垃圾。二是维修小组公厕。三是举一反三抓整改，加大日常人居环境整治排查整改。</w:t>
            </w:r>
          </w:p>
        </w:tc>
        <w:tc>
          <w:tcPr>
            <w:tcW w:w="1343" w:type="dxa"/>
            <w:tcBorders>
              <w:tl2br w:val="nil"/>
              <w:tr2bl w:val="nil"/>
            </w:tcBorders>
            <w:noWrap w:val="0"/>
            <w:vAlign w:val="center"/>
          </w:tcPr>
          <w:p w14:paraId="7E40A1E6">
            <w:pPr>
              <w:jc w:val="center"/>
              <w:rPr>
                <w:rFonts w:hint="default" w:ascii="Times New Roman" w:hAnsi="Times New Roman" w:eastAsia="宋体" w:cs="Times New Roman"/>
                <w:i w:val="0"/>
                <w:iCs w:val="0"/>
                <w:color w:val="000000"/>
                <w:sz w:val="24"/>
                <w:szCs w:val="24"/>
                <w:u w:val="none"/>
              </w:rPr>
            </w:pPr>
          </w:p>
        </w:tc>
      </w:tr>
      <w:tr w14:paraId="7CB4F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9" w:hRule="atLeast"/>
          <w:jc w:val="center"/>
        </w:trPr>
        <w:tc>
          <w:tcPr>
            <w:tcW w:w="968" w:type="dxa"/>
            <w:tcBorders>
              <w:tl2br w:val="nil"/>
              <w:tr2bl w:val="nil"/>
            </w:tcBorders>
            <w:noWrap w:val="0"/>
            <w:vAlign w:val="center"/>
          </w:tcPr>
          <w:p w14:paraId="12584604">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11</w:t>
            </w:r>
          </w:p>
        </w:tc>
        <w:tc>
          <w:tcPr>
            <w:tcW w:w="1892" w:type="dxa"/>
            <w:vMerge w:val="continue"/>
            <w:tcBorders>
              <w:tl2br w:val="nil"/>
              <w:tr2bl w:val="nil"/>
            </w:tcBorders>
            <w:noWrap w:val="0"/>
            <w:vAlign w:val="center"/>
          </w:tcPr>
          <w:p w14:paraId="429D50FF">
            <w:pPr>
              <w:rPr>
                <w:rFonts w:hint="default" w:ascii="Times New Roman" w:hAnsi="Times New Roman" w:eastAsia="方正仿宋简体" w:cs="Times New Roman"/>
                <w:i w:val="0"/>
                <w:iCs w:val="0"/>
                <w:color w:val="000000"/>
                <w:sz w:val="22"/>
                <w:szCs w:val="22"/>
                <w:u w:val="none"/>
              </w:rPr>
            </w:pPr>
          </w:p>
        </w:tc>
        <w:tc>
          <w:tcPr>
            <w:tcW w:w="2208" w:type="dxa"/>
            <w:tcBorders>
              <w:tl2br w:val="nil"/>
              <w:tr2bl w:val="nil"/>
            </w:tcBorders>
            <w:noWrap w:val="0"/>
            <w:vAlign w:val="center"/>
          </w:tcPr>
          <w:p w14:paraId="44944C7B">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6</w:t>
            </w:r>
            <w:r>
              <w:rPr>
                <w:rFonts w:hint="default" w:ascii="Times New Roman" w:hAnsi="Times New Roman" w:eastAsia="方正仿宋简体" w:cs="Times New Roman"/>
                <w:i w:val="0"/>
                <w:iCs w:val="0"/>
                <w:color w:val="000000"/>
                <w:kern w:val="0"/>
                <w:sz w:val="22"/>
                <w:szCs w:val="22"/>
                <w:u w:val="none"/>
                <w:lang w:val="en-US" w:eastAsia="zh-CN" w:bidi="ar"/>
              </w:rPr>
              <w:t>.加强闲置吸粪车使用</w:t>
            </w:r>
          </w:p>
        </w:tc>
        <w:tc>
          <w:tcPr>
            <w:tcW w:w="6375" w:type="dxa"/>
            <w:tcBorders>
              <w:tl2br w:val="nil"/>
              <w:tr2bl w:val="nil"/>
            </w:tcBorders>
            <w:noWrap w:val="0"/>
            <w:vAlign w:val="center"/>
          </w:tcPr>
          <w:p w14:paraId="54A2CE31">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加强三轮吸粪车日常管理使用，及时对需要开展吸粪作业的公厕进行工作。</w:t>
            </w:r>
          </w:p>
        </w:tc>
        <w:tc>
          <w:tcPr>
            <w:tcW w:w="1343" w:type="dxa"/>
            <w:tcBorders>
              <w:tl2br w:val="nil"/>
              <w:tr2bl w:val="nil"/>
            </w:tcBorders>
            <w:noWrap w:val="0"/>
            <w:vAlign w:val="center"/>
          </w:tcPr>
          <w:p w14:paraId="03D2A18F">
            <w:pPr>
              <w:jc w:val="center"/>
              <w:rPr>
                <w:rFonts w:hint="default" w:ascii="Times New Roman" w:hAnsi="Times New Roman" w:eastAsia="宋体" w:cs="Times New Roman"/>
                <w:i w:val="0"/>
                <w:iCs w:val="0"/>
                <w:color w:val="000000"/>
                <w:sz w:val="24"/>
                <w:szCs w:val="24"/>
                <w:u w:val="none"/>
              </w:rPr>
            </w:pPr>
          </w:p>
        </w:tc>
      </w:tr>
      <w:tr w14:paraId="21F2C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5" w:hRule="atLeast"/>
          <w:jc w:val="center"/>
        </w:trPr>
        <w:tc>
          <w:tcPr>
            <w:tcW w:w="968" w:type="dxa"/>
            <w:tcBorders>
              <w:tl2br w:val="nil"/>
              <w:tr2bl w:val="nil"/>
            </w:tcBorders>
            <w:noWrap w:val="0"/>
            <w:vAlign w:val="center"/>
          </w:tcPr>
          <w:p w14:paraId="72D42482">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12</w:t>
            </w:r>
          </w:p>
        </w:tc>
        <w:tc>
          <w:tcPr>
            <w:tcW w:w="1892" w:type="dxa"/>
            <w:tcBorders>
              <w:tl2br w:val="nil"/>
              <w:tr2bl w:val="nil"/>
            </w:tcBorders>
            <w:noWrap w:val="0"/>
            <w:vAlign w:val="center"/>
          </w:tcPr>
          <w:p w14:paraId="3C3944FD">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三</w:t>
            </w:r>
            <w:r>
              <w:rPr>
                <w:rFonts w:hint="default" w:ascii="Times New Roman" w:hAnsi="Times New Roman" w:eastAsia="方正仿宋简体" w:cs="Times New Roman"/>
                <w:i w:val="0"/>
                <w:iCs w:val="0"/>
                <w:color w:val="000000"/>
                <w:kern w:val="0"/>
                <w:sz w:val="22"/>
                <w:szCs w:val="22"/>
                <w:u w:val="none"/>
                <w:lang w:val="en-US" w:eastAsia="zh-CN" w:bidi="ar"/>
              </w:rPr>
              <w:t>、关于检查防范化解重大风险，维护社会大局和谐稳定方面的整改进展情况</w:t>
            </w:r>
          </w:p>
        </w:tc>
        <w:tc>
          <w:tcPr>
            <w:tcW w:w="2208" w:type="dxa"/>
            <w:tcBorders>
              <w:tl2br w:val="nil"/>
              <w:tr2bl w:val="nil"/>
            </w:tcBorders>
            <w:noWrap w:val="0"/>
            <w:vAlign w:val="center"/>
          </w:tcPr>
          <w:p w14:paraId="7626EA07">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加大地质灾害隐患排查</w:t>
            </w:r>
          </w:p>
        </w:tc>
        <w:tc>
          <w:tcPr>
            <w:tcW w:w="6375" w:type="dxa"/>
            <w:tcBorders>
              <w:tl2br w:val="nil"/>
              <w:tr2bl w:val="nil"/>
            </w:tcBorders>
            <w:noWrap w:val="0"/>
            <w:vAlign w:val="center"/>
          </w:tcPr>
          <w:p w14:paraId="57DA57D8">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一是加强日常监督管理，及时对其进行张贴禁止使用标识、拉警示线作业，未加固处理隐患前禁止使用。二是向上级部门争取项目资金，对公厕地基下沉，墙体开裂进行除险加固。</w:t>
            </w:r>
          </w:p>
        </w:tc>
        <w:tc>
          <w:tcPr>
            <w:tcW w:w="1343" w:type="dxa"/>
            <w:tcBorders>
              <w:tl2br w:val="nil"/>
              <w:tr2bl w:val="nil"/>
            </w:tcBorders>
            <w:noWrap w:val="0"/>
            <w:vAlign w:val="center"/>
          </w:tcPr>
          <w:p w14:paraId="38B5288D">
            <w:pPr>
              <w:jc w:val="center"/>
              <w:rPr>
                <w:rFonts w:hint="default" w:ascii="Times New Roman" w:hAnsi="Times New Roman" w:eastAsia="宋体" w:cs="Times New Roman"/>
                <w:i w:val="0"/>
                <w:iCs w:val="0"/>
                <w:color w:val="000000"/>
                <w:sz w:val="24"/>
                <w:szCs w:val="24"/>
                <w:u w:val="none"/>
              </w:rPr>
            </w:pPr>
          </w:p>
        </w:tc>
      </w:tr>
      <w:tr w14:paraId="5EEEA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2" w:hRule="atLeast"/>
          <w:jc w:val="center"/>
        </w:trPr>
        <w:tc>
          <w:tcPr>
            <w:tcW w:w="968" w:type="dxa"/>
            <w:tcBorders>
              <w:tl2br w:val="nil"/>
              <w:tr2bl w:val="nil"/>
            </w:tcBorders>
            <w:noWrap w:val="0"/>
            <w:vAlign w:val="center"/>
          </w:tcPr>
          <w:p w14:paraId="7607A6FC">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13</w:t>
            </w:r>
          </w:p>
        </w:tc>
        <w:tc>
          <w:tcPr>
            <w:tcW w:w="1892" w:type="dxa"/>
            <w:vMerge w:val="restart"/>
            <w:tcBorders>
              <w:tl2br w:val="nil"/>
              <w:tr2bl w:val="nil"/>
            </w:tcBorders>
            <w:noWrap w:val="0"/>
            <w:vAlign w:val="center"/>
          </w:tcPr>
          <w:p w14:paraId="62138989">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四</w:t>
            </w:r>
            <w:r>
              <w:rPr>
                <w:rFonts w:hint="default" w:ascii="Times New Roman" w:hAnsi="Times New Roman" w:eastAsia="方正仿宋简体" w:cs="Times New Roman"/>
                <w:i w:val="0"/>
                <w:iCs w:val="0"/>
                <w:color w:val="000000"/>
                <w:kern w:val="0"/>
                <w:sz w:val="22"/>
                <w:szCs w:val="22"/>
                <w:u w:val="none"/>
                <w:lang w:val="en-US" w:eastAsia="zh-CN" w:bidi="ar"/>
              </w:rPr>
              <w:t>、关于检查加强廉洁风险防控，落实中央八项规定精神方面的整改进展情况</w:t>
            </w:r>
          </w:p>
        </w:tc>
        <w:tc>
          <w:tcPr>
            <w:tcW w:w="2208" w:type="dxa"/>
            <w:tcBorders>
              <w:tl2br w:val="nil"/>
              <w:tr2bl w:val="nil"/>
            </w:tcBorders>
            <w:noWrap w:val="0"/>
            <w:vAlign w:val="center"/>
          </w:tcPr>
          <w:p w14:paraId="35088F10">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1.</w:t>
            </w:r>
            <w:r>
              <w:rPr>
                <w:rFonts w:hint="default" w:ascii="Times New Roman" w:hAnsi="Times New Roman" w:eastAsia="方正仿宋简体" w:cs="Times New Roman"/>
                <w:i w:val="0"/>
                <w:iCs w:val="0"/>
                <w:color w:val="000000"/>
                <w:kern w:val="0"/>
                <w:sz w:val="22"/>
                <w:szCs w:val="22"/>
                <w:u w:val="none"/>
                <w:lang w:val="en-US" w:eastAsia="zh-CN" w:bidi="ar"/>
              </w:rPr>
              <w:t>强化管理小组资金坐收坐支</w:t>
            </w:r>
          </w:p>
        </w:tc>
        <w:tc>
          <w:tcPr>
            <w:tcW w:w="6375" w:type="dxa"/>
            <w:tcBorders>
              <w:tl2br w:val="nil"/>
              <w:tr2bl w:val="nil"/>
            </w:tcBorders>
            <w:noWrap w:val="0"/>
            <w:vAlign w:val="center"/>
          </w:tcPr>
          <w:p w14:paraId="497CD59C">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对存在集体租金坐收坐支的小组进行资金追回，督促存入乡会计委托中心，并对其加强教育提醒。二是加大集体资金管理和使用，严格审核小组资金支出，对不符合支出资金不予以审批，做到资金支出程序规范、材料齐全、用途合理。</w:t>
            </w:r>
          </w:p>
        </w:tc>
        <w:tc>
          <w:tcPr>
            <w:tcW w:w="1343" w:type="dxa"/>
            <w:tcBorders>
              <w:tl2br w:val="nil"/>
              <w:tr2bl w:val="nil"/>
            </w:tcBorders>
            <w:noWrap w:val="0"/>
            <w:vAlign w:val="center"/>
          </w:tcPr>
          <w:p w14:paraId="6E5ED2EC">
            <w:pPr>
              <w:jc w:val="center"/>
              <w:rPr>
                <w:rFonts w:hint="default" w:ascii="Times New Roman" w:hAnsi="Times New Roman" w:eastAsia="宋体" w:cs="Times New Roman"/>
                <w:i w:val="0"/>
                <w:iCs w:val="0"/>
                <w:color w:val="000000"/>
                <w:sz w:val="24"/>
                <w:szCs w:val="24"/>
                <w:u w:val="none"/>
              </w:rPr>
            </w:pPr>
          </w:p>
        </w:tc>
      </w:tr>
      <w:tr w14:paraId="77088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2" w:hRule="atLeast"/>
          <w:jc w:val="center"/>
        </w:trPr>
        <w:tc>
          <w:tcPr>
            <w:tcW w:w="968" w:type="dxa"/>
            <w:tcBorders>
              <w:tl2br w:val="nil"/>
              <w:tr2bl w:val="nil"/>
            </w:tcBorders>
            <w:noWrap w:val="0"/>
            <w:vAlign w:val="center"/>
          </w:tcPr>
          <w:p w14:paraId="3F46C72C">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14</w:t>
            </w:r>
          </w:p>
        </w:tc>
        <w:tc>
          <w:tcPr>
            <w:tcW w:w="1892" w:type="dxa"/>
            <w:vMerge w:val="continue"/>
            <w:tcBorders>
              <w:tl2br w:val="nil"/>
              <w:tr2bl w:val="nil"/>
            </w:tcBorders>
            <w:noWrap w:val="0"/>
            <w:vAlign w:val="center"/>
          </w:tcPr>
          <w:p w14:paraId="3A9458B8">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p>
        </w:tc>
        <w:tc>
          <w:tcPr>
            <w:tcW w:w="2208" w:type="dxa"/>
            <w:tcBorders>
              <w:tl2br w:val="nil"/>
              <w:tr2bl w:val="nil"/>
            </w:tcBorders>
            <w:noWrap w:val="0"/>
            <w:vAlign w:val="center"/>
          </w:tcPr>
          <w:p w14:paraId="7F4F8077">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2.</w:t>
            </w:r>
            <w:r>
              <w:rPr>
                <w:rFonts w:hint="default" w:ascii="Times New Roman" w:hAnsi="Times New Roman" w:eastAsia="方正仿宋简体" w:cs="Times New Roman"/>
                <w:i w:val="0"/>
                <w:iCs w:val="0"/>
                <w:color w:val="000000"/>
                <w:kern w:val="0"/>
                <w:sz w:val="22"/>
                <w:szCs w:val="22"/>
                <w:u w:val="none"/>
                <w:lang w:val="en-US" w:eastAsia="zh-CN" w:bidi="ar"/>
              </w:rPr>
              <w:t>严格管理小组集体资金</w:t>
            </w:r>
          </w:p>
        </w:tc>
        <w:tc>
          <w:tcPr>
            <w:tcW w:w="6375" w:type="dxa"/>
            <w:tcBorders>
              <w:tl2br w:val="nil"/>
              <w:tr2bl w:val="nil"/>
            </w:tcBorders>
            <w:noWrap w:val="0"/>
            <w:vAlign w:val="center"/>
          </w:tcPr>
          <w:p w14:paraId="0A1066E9">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采取法律措施，以村民小组和农户起诉该公司，通过法律途径终止集体土地出租合同，并收回集体土地；做好群众思想工作，认真分析研究问题，对有关公司进行沟通协调对接，逐一梳理公司运行过程中存在的问题，根据问题制定相应的整改措施，确保红薯收购款兑现农户。</w:t>
            </w:r>
          </w:p>
        </w:tc>
        <w:tc>
          <w:tcPr>
            <w:tcW w:w="1343" w:type="dxa"/>
            <w:tcBorders>
              <w:tl2br w:val="nil"/>
              <w:tr2bl w:val="nil"/>
            </w:tcBorders>
            <w:noWrap w:val="0"/>
            <w:vAlign w:val="center"/>
          </w:tcPr>
          <w:p w14:paraId="5733E84D">
            <w:pPr>
              <w:jc w:val="center"/>
              <w:rPr>
                <w:rFonts w:hint="default" w:ascii="Times New Roman" w:hAnsi="Times New Roman" w:eastAsia="宋体" w:cs="Times New Roman"/>
                <w:i w:val="0"/>
                <w:iCs w:val="0"/>
                <w:color w:val="000000"/>
                <w:sz w:val="24"/>
                <w:szCs w:val="24"/>
                <w:u w:val="none"/>
              </w:rPr>
            </w:pPr>
          </w:p>
        </w:tc>
      </w:tr>
    </w:tbl>
    <w:p w14:paraId="62138630"/>
    <w:tbl>
      <w:tblPr>
        <w:tblStyle w:val="6"/>
        <w:tblW w:w="127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8"/>
        <w:gridCol w:w="1892"/>
        <w:gridCol w:w="2208"/>
        <w:gridCol w:w="6375"/>
        <w:gridCol w:w="1343"/>
      </w:tblGrid>
      <w:tr w14:paraId="37440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2" w:hRule="atLeast"/>
          <w:jc w:val="center"/>
        </w:trPr>
        <w:tc>
          <w:tcPr>
            <w:tcW w:w="968" w:type="dxa"/>
            <w:tcBorders>
              <w:tl2br w:val="nil"/>
              <w:tr2bl w:val="nil"/>
            </w:tcBorders>
            <w:noWrap w:val="0"/>
            <w:vAlign w:val="center"/>
          </w:tcPr>
          <w:p w14:paraId="784BCF56">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15</w:t>
            </w:r>
          </w:p>
        </w:tc>
        <w:tc>
          <w:tcPr>
            <w:tcW w:w="1892" w:type="dxa"/>
            <w:vMerge w:val="restart"/>
            <w:tcBorders>
              <w:tl2br w:val="nil"/>
              <w:tr2bl w:val="nil"/>
            </w:tcBorders>
            <w:noWrap w:val="0"/>
            <w:vAlign w:val="center"/>
          </w:tcPr>
          <w:p w14:paraId="78C2D3DA">
            <w:pP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四</w:t>
            </w:r>
            <w:r>
              <w:rPr>
                <w:rFonts w:hint="default" w:ascii="Times New Roman" w:hAnsi="Times New Roman" w:eastAsia="方正仿宋简体" w:cs="Times New Roman"/>
                <w:i w:val="0"/>
                <w:iCs w:val="0"/>
                <w:color w:val="000000"/>
                <w:kern w:val="0"/>
                <w:sz w:val="22"/>
                <w:szCs w:val="22"/>
                <w:u w:val="none"/>
                <w:lang w:val="en-US" w:eastAsia="zh-CN" w:bidi="ar"/>
              </w:rPr>
              <w:t>、关于检查加强廉洁风险防控，落实中央八项规定精神方面的整改进展情况</w:t>
            </w:r>
          </w:p>
        </w:tc>
        <w:tc>
          <w:tcPr>
            <w:tcW w:w="2208" w:type="dxa"/>
            <w:tcBorders>
              <w:tl2br w:val="nil"/>
              <w:tr2bl w:val="nil"/>
            </w:tcBorders>
            <w:noWrap w:val="0"/>
            <w:vAlign w:val="center"/>
          </w:tcPr>
          <w:p w14:paraId="20107259">
            <w:pP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2.</w:t>
            </w:r>
            <w:r>
              <w:rPr>
                <w:rFonts w:hint="default" w:ascii="Times New Roman" w:hAnsi="Times New Roman" w:eastAsia="方正仿宋简体" w:cs="Times New Roman"/>
                <w:i w:val="0"/>
                <w:iCs w:val="0"/>
                <w:color w:val="000000"/>
                <w:kern w:val="0"/>
                <w:sz w:val="22"/>
                <w:szCs w:val="22"/>
                <w:u w:val="none"/>
                <w:lang w:val="en-US" w:eastAsia="zh-CN" w:bidi="ar"/>
              </w:rPr>
              <w:t>严格管理小组集体资金</w:t>
            </w:r>
          </w:p>
        </w:tc>
        <w:tc>
          <w:tcPr>
            <w:tcW w:w="6375" w:type="dxa"/>
            <w:tcBorders>
              <w:tl2br w:val="nil"/>
              <w:tr2bl w:val="nil"/>
            </w:tcBorders>
            <w:noWrap w:val="0"/>
            <w:vAlign w:val="center"/>
          </w:tcPr>
          <w:p w14:paraId="3C15869B">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采取法律措施，以小组起诉借款人，提供法律追回小组集体资金；村</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认真分析研究，对借款个人沟通协调对接，逐一梳理借款人存在的问题，协商好解决办法措施，有效制止集体资金流失风险。</w:t>
            </w:r>
          </w:p>
        </w:tc>
        <w:tc>
          <w:tcPr>
            <w:tcW w:w="1343" w:type="dxa"/>
            <w:tcBorders>
              <w:tl2br w:val="nil"/>
              <w:tr2bl w:val="nil"/>
            </w:tcBorders>
            <w:noWrap w:val="0"/>
            <w:vAlign w:val="center"/>
          </w:tcPr>
          <w:p w14:paraId="1B0AC1B8">
            <w:pPr>
              <w:jc w:val="center"/>
              <w:rPr>
                <w:rFonts w:hint="default" w:ascii="Times New Roman" w:hAnsi="Times New Roman" w:eastAsia="宋体" w:cs="Times New Roman"/>
                <w:i w:val="0"/>
                <w:iCs w:val="0"/>
                <w:color w:val="000000"/>
                <w:sz w:val="24"/>
                <w:szCs w:val="24"/>
                <w:u w:val="none"/>
              </w:rPr>
            </w:pPr>
          </w:p>
        </w:tc>
      </w:tr>
      <w:tr w14:paraId="2B8EA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3" w:hRule="atLeast"/>
          <w:jc w:val="center"/>
        </w:trPr>
        <w:tc>
          <w:tcPr>
            <w:tcW w:w="968" w:type="dxa"/>
            <w:tcBorders>
              <w:tl2br w:val="nil"/>
              <w:tr2bl w:val="nil"/>
            </w:tcBorders>
            <w:noWrap w:val="0"/>
            <w:vAlign w:val="center"/>
          </w:tcPr>
          <w:p w14:paraId="45AB6B31">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16</w:t>
            </w:r>
          </w:p>
        </w:tc>
        <w:tc>
          <w:tcPr>
            <w:tcW w:w="1892" w:type="dxa"/>
            <w:vMerge w:val="continue"/>
            <w:tcBorders>
              <w:tl2br w:val="nil"/>
              <w:tr2bl w:val="nil"/>
            </w:tcBorders>
            <w:noWrap w:val="0"/>
            <w:vAlign w:val="center"/>
          </w:tcPr>
          <w:p w14:paraId="1FB332AC">
            <w:pPr>
              <w:rPr>
                <w:rFonts w:hint="default" w:ascii="Times New Roman" w:hAnsi="Times New Roman" w:eastAsia="方正仿宋简体" w:cs="Times New Roman"/>
                <w:i w:val="0"/>
                <w:iCs w:val="0"/>
                <w:color w:val="000000"/>
                <w:sz w:val="22"/>
                <w:szCs w:val="22"/>
                <w:u w:val="none"/>
              </w:rPr>
            </w:pPr>
          </w:p>
        </w:tc>
        <w:tc>
          <w:tcPr>
            <w:tcW w:w="2208" w:type="dxa"/>
            <w:vMerge w:val="restart"/>
            <w:tcBorders>
              <w:tl2br w:val="nil"/>
              <w:tr2bl w:val="nil"/>
            </w:tcBorders>
            <w:noWrap w:val="0"/>
            <w:vAlign w:val="center"/>
          </w:tcPr>
          <w:p w14:paraId="2A65D82A">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.严格执行财务管理制度</w:t>
            </w:r>
          </w:p>
        </w:tc>
        <w:tc>
          <w:tcPr>
            <w:tcW w:w="6375" w:type="dxa"/>
            <w:tcBorders>
              <w:tl2br w:val="nil"/>
              <w:tr2bl w:val="nil"/>
            </w:tcBorders>
            <w:noWrap w:val="0"/>
            <w:vAlign w:val="center"/>
          </w:tcPr>
          <w:p w14:paraId="067D91A4">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按要求退回了场地平整费；加强财务制度执行，严格资金支出审核把关，按照资金使用程序报账要求，进行资金支出。</w:t>
            </w:r>
          </w:p>
        </w:tc>
        <w:tc>
          <w:tcPr>
            <w:tcW w:w="1343" w:type="dxa"/>
            <w:tcBorders>
              <w:tl2br w:val="nil"/>
              <w:tr2bl w:val="nil"/>
            </w:tcBorders>
            <w:noWrap w:val="0"/>
            <w:vAlign w:val="center"/>
          </w:tcPr>
          <w:p w14:paraId="4DF88E0A">
            <w:pPr>
              <w:jc w:val="center"/>
              <w:rPr>
                <w:rFonts w:hint="default" w:ascii="Times New Roman" w:hAnsi="Times New Roman" w:eastAsia="宋体" w:cs="Times New Roman"/>
                <w:i w:val="0"/>
                <w:iCs w:val="0"/>
                <w:color w:val="000000"/>
                <w:sz w:val="24"/>
                <w:szCs w:val="24"/>
                <w:u w:val="none"/>
              </w:rPr>
            </w:pPr>
          </w:p>
        </w:tc>
      </w:tr>
      <w:tr w14:paraId="11409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1" w:hRule="atLeast"/>
          <w:jc w:val="center"/>
        </w:trPr>
        <w:tc>
          <w:tcPr>
            <w:tcW w:w="968" w:type="dxa"/>
            <w:tcBorders>
              <w:tl2br w:val="nil"/>
              <w:tr2bl w:val="nil"/>
            </w:tcBorders>
            <w:noWrap w:val="0"/>
            <w:vAlign w:val="center"/>
          </w:tcPr>
          <w:p w14:paraId="4A7F1759">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17</w:t>
            </w:r>
          </w:p>
        </w:tc>
        <w:tc>
          <w:tcPr>
            <w:tcW w:w="1892" w:type="dxa"/>
            <w:vMerge w:val="continue"/>
            <w:tcBorders>
              <w:tl2br w:val="nil"/>
              <w:tr2bl w:val="nil"/>
            </w:tcBorders>
            <w:noWrap w:val="0"/>
            <w:vAlign w:val="center"/>
          </w:tcPr>
          <w:p w14:paraId="74233611">
            <w:pPr>
              <w:rPr>
                <w:rFonts w:hint="default" w:ascii="Times New Roman" w:hAnsi="Times New Roman" w:eastAsia="方正仿宋简体" w:cs="Times New Roman"/>
                <w:i w:val="0"/>
                <w:iCs w:val="0"/>
                <w:color w:val="000000"/>
                <w:sz w:val="22"/>
                <w:szCs w:val="22"/>
                <w:u w:val="none"/>
              </w:rPr>
            </w:pPr>
          </w:p>
        </w:tc>
        <w:tc>
          <w:tcPr>
            <w:tcW w:w="2208" w:type="dxa"/>
            <w:vMerge w:val="continue"/>
            <w:tcBorders>
              <w:tl2br w:val="nil"/>
              <w:tr2bl w:val="nil"/>
            </w:tcBorders>
            <w:noWrap w:val="0"/>
            <w:vAlign w:val="center"/>
          </w:tcPr>
          <w:p w14:paraId="3CBD18E1">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p>
        </w:tc>
        <w:tc>
          <w:tcPr>
            <w:tcW w:w="6375" w:type="dxa"/>
            <w:tcBorders>
              <w:tl2br w:val="nil"/>
              <w:tr2bl w:val="nil"/>
            </w:tcBorders>
            <w:noWrap w:val="0"/>
            <w:vAlign w:val="center"/>
          </w:tcPr>
          <w:p w14:paraId="33CCE6B9">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加强财务报销审核签字，对小组报账人员进行加大培训，在审批过程中严格报销材料审核把关；进行原报销材料进行核实，对不符合报销费用进行退回；对符合报销费用及时更改完善报销材料。</w:t>
            </w:r>
          </w:p>
        </w:tc>
        <w:tc>
          <w:tcPr>
            <w:tcW w:w="1343" w:type="dxa"/>
            <w:tcBorders>
              <w:tl2br w:val="nil"/>
              <w:tr2bl w:val="nil"/>
            </w:tcBorders>
            <w:noWrap w:val="0"/>
            <w:vAlign w:val="center"/>
          </w:tcPr>
          <w:p w14:paraId="05509981">
            <w:pPr>
              <w:jc w:val="center"/>
              <w:rPr>
                <w:rFonts w:hint="default" w:ascii="Times New Roman" w:hAnsi="Times New Roman" w:eastAsia="宋体" w:cs="Times New Roman"/>
                <w:i w:val="0"/>
                <w:iCs w:val="0"/>
                <w:color w:val="000000"/>
                <w:sz w:val="24"/>
                <w:szCs w:val="24"/>
                <w:u w:val="none"/>
              </w:rPr>
            </w:pPr>
          </w:p>
        </w:tc>
      </w:tr>
      <w:tr w14:paraId="18E0B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4" w:hRule="atLeast"/>
          <w:jc w:val="center"/>
        </w:trPr>
        <w:tc>
          <w:tcPr>
            <w:tcW w:w="968" w:type="dxa"/>
            <w:tcBorders>
              <w:tl2br w:val="nil"/>
              <w:tr2bl w:val="nil"/>
            </w:tcBorders>
            <w:noWrap w:val="0"/>
            <w:vAlign w:val="center"/>
          </w:tcPr>
          <w:p w14:paraId="75AEB6F6">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18</w:t>
            </w:r>
          </w:p>
        </w:tc>
        <w:tc>
          <w:tcPr>
            <w:tcW w:w="1892" w:type="dxa"/>
            <w:vMerge w:val="continue"/>
            <w:tcBorders>
              <w:tl2br w:val="nil"/>
              <w:tr2bl w:val="nil"/>
            </w:tcBorders>
            <w:noWrap w:val="0"/>
            <w:vAlign w:val="center"/>
          </w:tcPr>
          <w:p w14:paraId="26AA8130">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p>
        </w:tc>
        <w:tc>
          <w:tcPr>
            <w:tcW w:w="2208" w:type="dxa"/>
            <w:vMerge w:val="restart"/>
            <w:tcBorders>
              <w:tl2br w:val="nil"/>
              <w:tr2bl w:val="nil"/>
            </w:tcBorders>
            <w:noWrap w:val="0"/>
            <w:vAlign w:val="center"/>
          </w:tcPr>
          <w:p w14:paraId="71C17D27">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4.</w:t>
            </w:r>
            <w:r>
              <w:rPr>
                <w:rFonts w:hint="default" w:ascii="Times New Roman" w:hAnsi="Times New Roman" w:eastAsia="方正仿宋简体" w:cs="Times New Roman"/>
                <w:i w:val="0"/>
                <w:iCs w:val="0"/>
                <w:color w:val="000000"/>
                <w:kern w:val="0"/>
                <w:sz w:val="22"/>
                <w:szCs w:val="22"/>
                <w:u w:val="none"/>
                <w:lang w:val="en-US" w:eastAsia="zh-CN" w:bidi="ar"/>
              </w:rPr>
              <w:t>强化财务制度</w:t>
            </w:r>
          </w:p>
        </w:tc>
        <w:tc>
          <w:tcPr>
            <w:tcW w:w="6375" w:type="dxa"/>
            <w:tcBorders>
              <w:tl2br w:val="nil"/>
              <w:tr2bl w:val="nil"/>
            </w:tcBorders>
            <w:noWrap w:val="0"/>
            <w:vAlign w:val="center"/>
          </w:tcPr>
          <w:p w14:paraId="022BC2D5">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进行原报销材料进行核实，对报销材料中存在重复情况进行分析，对不符合报销费用进行退回；对符合报销费用，通过村</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会议，及时更改完善报销材料；加强报账人员业务提升，严格报销材料签字审核把关。</w:t>
            </w:r>
          </w:p>
        </w:tc>
        <w:tc>
          <w:tcPr>
            <w:tcW w:w="1343" w:type="dxa"/>
            <w:tcBorders>
              <w:tl2br w:val="nil"/>
              <w:tr2bl w:val="nil"/>
            </w:tcBorders>
            <w:noWrap w:val="0"/>
            <w:vAlign w:val="center"/>
          </w:tcPr>
          <w:p w14:paraId="3312E311">
            <w:pPr>
              <w:jc w:val="center"/>
              <w:rPr>
                <w:rFonts w:hint="default" w:ascii="Times New Roman" w:hAnsi="Times New Roman" w:eastAsia="宋体" w:cs="Times New Roman"/>
                <w:i w:val="0"/>
                <w:iCs w:val="0"/>
                <w:color w:val="000000"/>
                <w:sz w:val="24"/>
                <w:szCs w:val="24"/>
                <w:u w:val="none"/>
              </w:rPr>
            </w:pPr>
          </w:p>
        </w:tc>
      </w:tr>
      <w:tr w14:paraId="5CA0D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8" w:hRule="atLeast"/>
          <w:jc w:val="center"/>
        </w:trPr>
        <w:tc>
          <w:tcPr>
            <w:tcW w:w="968" w:type="dxa"/>
            <w:tcBorders>
              <w:tl2br w:val="nil"/>
              <w:tr2bl w:val="nil"/>
            </w:tcBorders>
            <w:noWrap w:val="0"/>
            <w:vAlign w:val="center"/>
          </w:tcPr>
          <w:p w14:paraId="382D0AFF">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19</w:t>
            </w:r>
          </w:p>
        </w:tc>
        <w:tc>
          <w:tcPr>
            <w:tcW w:w="1892" w:type="dxa"/>
            <w:vMerge w:val="continue"/>
            <w:tcBorders>
              <w:tl2br w:val="nil"/>
              <w:tr2bl w:val="nil"/>
            </w:tcBorders>
            <w:noWrap w:val="0"/>
            <w:vAlign w:val="center"/>
          </w:tcPr>
          <w:p w14:paraId="0A8BEE89">
            <w:pPr>
              <w:rPr>
                <w:rFonts w:hint="default" w:ascii="Times New Roman" w:hAnsi="Times New Roman" w:eastAsia="方正仿宋简体" w:cs="Times New Roman"/>
                <w:i w:val="0"/>
                <w:iCs w:val="0"/>
                <w:color w:val="000000"/>
                <w:sz w:val="22"/>
                <w:szCs w:val="22"/>
                <w:u w:val="none"/>
              </w:rPr>
            </w:pPr>
          </w:p>
        </w:tc>
        <w:tc>
          <w:tcPr>
            <w:tcW w:w="2208" w:type="dxa"/>
            <w:vMerge w:val="continue"/>
            <w:tcBorders>
              <w:tl2br w:val="nil"/>
              <w:tr2bl w:val="nil"/>
            </w:tcBorders>
            <w:noWrap w:val="0"/>
            <w:vAlign w:val="center"/>
          </w:tcPr>
          <w:p w14:paraId="6F71F614">
            <w:pPr>
              <w:rPr>
                <w:rFonts w:hint="default" w:ascii="Times New Roman" w:hAnsi="Times New Roman" w:eastAsia="方正仿宋简体" w:cs="Times New Roman"/>
                <w:i w:val="0"/>
                <w:iCs w:val="0"/>
                <w:color w:val="000000"/>
                <w:sz w:val="22"/>
                <w:szCs w:val="22"/>
                <w:u w:val="none"/>
              </w:rPr>
            </w:pPr>
          </w:p>
        </w:tc>
        <w:tc>
          <w:tcPr>
            <w:tcW w:w="6375" w:type="dxa"/>
            <w:tcBorders>
              <w:tl2br w:val="nil"/>
              <w:tr2bl w:val="nil"/>
            </w:tcBorders>
            <w:noWrap w:val="0"/>
            <w:vAlign w:val="center"/>
          </w:tcPr>
          <w:p w14:paraId="68A58A5E">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组织相关人员对其资金支出清单进行了梳理核实；加强财务制度执行，严格按照资金使用程序报账要求，对不符合的进行退回；对符合的通过村</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会议审核；加强财务知识学习培训，规范报账程序，严格材料审核把关。</w:t>
            </w:r>
          </w:p>
        </w:tc>
        <w:tc>
          <w:tcPr>
            <w:tcW w:w="1343" w:type="dxa"/>
            <w:tcBorders>
              <w:tl2br w:val="nil"/>
              <w:tr2bl w:val="nil"/>
            </w:tcBorders>
            <w:noWrap w:val="0"/>
            <w:vAlign w:val="center"/>
          </w:tcPr>
          <w:p w14:paraId="13BA9BF4">
            <w:pPr>
              <w:jc w:val="center"/>
              <w:rPr>
                <w:rFonts w:hint="default" w:ascii="Times New Roman" w:hAnsi="Times New Roman" w:eastAsia="宋体" w:cs="Times New Roman"/>
                <w:i w:val="0"/>
                <w:iCs w:val="0"/>
                <w:color w:val="000000"/>
                <w:sz w:val="24"/>
                <w:szCs w:val="24"/>
                <w:u w:val="none"/>
              </w:rPr>
            </w:pPr>
          </w:p>
        </w:tc>
      </w:tr>
      <w:tr w14:paraId="294BE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0" w:hRule="atLeast"/>
          <w:jc w:val="center"/>
        </w:trPr>
        <w:tc>
          <w:tcPr>
            <w:tcW w:w="968" w:type="dxa"/>
            <w:tcBorders>
              <w:tl2br w:val="nil"/>
              <w:tr2bl w:val="nil"/>
            </w:tcBorders>
            <w:noWrap w:val="0"/>
            <w:vAlign w:val="center"/>
          </w:tcPr>
          <w:p w14:paraId="2317491D">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20</w:t>
            </w:r>
          </w:p>
        </w:tc>
        <w:tc>
          <w:tcPr>
            <w:tcW w:w="1892" w:type="dxa"/>
            <w:vMerge w:val="restart"/>
            <w:tcBorders>
              <w:tl2br w:val="nil"/>
              <w:tr2bl w:val="nil"/>
            </w:tcBorders>
            <w:noWrap w:val="0"/>
            <w:vAlign w:val="center"/>
          </w:tcPr>
          <w:p w14:paraId="53C25F85">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五</w:t>
            </w:r>
            <w:r>
              <w:rPr>
                <w:rFonts w:hint="default" w:ascii="Times New Roman" w:hAnsi="Times New Roman" w:eastAsia="方正仿宋简体" w:cs="Times New Roman"/>
                <w:i w:val="0"/>
                <w:iCs w:val="0"/>
                <w:color w:val="000000"/>
                <w:kern w:val="0"/>
                <w:sz w:val="22"/>
                <w:szCs w:val="22"/>
                <w:u w:val="none"/>
                <w:lang w:val="en-US" w:eastAsia="zh-CN" w:bidi="ar"/>
              </w:rPr>
              <w:t>、关于检查基层党组织领导班子和干部队伍建设方面的整改进展情况</w:t>
            </w:r>
          </w:p>
        </w:tc>
        <w:tc>
          <w:tcPr>
            <w:tcW w:w="2208" w:type="dxa"/>
            <w:vMerge w:val="restart"/>
            <w:tcBorders>
              <w:tl2br w:val="nil"/>
              <w:tr2bl w:val="nil"/>
            </w:tcBorders>
            <w:noWrap w:val="0"/>
            <w:vAlign w:val="center"/>
          </w:tcPr>
          <w:p w14:paraId="46322BA0">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1.规范民主决策</w:t>
            </w:r>
          </w:p>
        </w:tc>
        <w:tc>
          <w:tcPr>
            <w:tcW w:w="6375" w:type="dxa"/>
            <w:tcBorders>
              <w:tl2br w:val="nil"/>
              <w:tr2bl w:val="nil"/>
            </w:tcBorders>
            <w:noWrap w:val="0"/>
            <w:vAlign w:val="center"/>
          </w:tcPr>
          <w:p w14:paraId="6B182A33">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对</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四议两公开</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制度的学习，深刻理解有关要求，集体资金入股、资产出租严格按照程序执行；已对村集体资金资产入股或出租按照</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四议两公开</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程序要求召开了会议，及时进行公开，并完善了相关材料。</w:t>
            </w:r>
          </w:p>
        </w:tc>
        <w:tc>
          <w:tcPr>
            <w:tcW w:w="1343" w:type="dxa"/>
            <w:tcBorders>
              <w:tl2br w:val="nil"/>
              <w:tr2bl w:val="nil"/>
            </w:tcBorders>
            <w:noWrap w:val="0"/>
            <w:vAlign w:val="center"/>
          </w:tcPr>
          <w:p w14:paraId="312E7049">
            <w:pPr>
              <w:jc w:val="center"/>
              <w:rPr>
                <w:rFonts w:hint="default" w:ascii="Times New Roman" w:hAnsi="Times New Roman" w:eastAsia="宋体" w:cs="Times New Roman"/>
                <w:i w:val="0"/>
                <w:iCs w:val="0"/>
                <w:color w:val="000000"/>
                <w:sz w:val="24"/>
                <w:szCs w:val="24"/>
                <w:u w:val="none"/>
              </w:rPr>
            </w:pPr>
          </w:p>
        </w:tc>
      </w:tr>
      <w:tr w14:paraId="1E810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2" w:hRule="atLeast"/>
          <w:jc w:val="center"/>
        </w:trPr>
        <w:tc>
          <w:tcPr>
            <w:tcW w:w="968" w:type="dxa"/>
            <w:tcBorders>
              <w:tl2br w:val="nil"/>
              <w:tr2bl w:val="nil"/>
            </w:tcBorders>
            <w:noWrap w:val="0"/>
            <w:vAlign w:val="center"/>
          </w:tcPr>
          <w:p w14:paraId="29E76054">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21</w:t>
            </w:r>
          </w:p>
        </w:tc>
        <w:tc>
          <w:tcPr>
            <w:tcW w:w="1892" w:type="dxa"/>
            <w:vMerge w:val="continue"/>
            <w:tcBorders>
              <w:tl2br w:val="nil"/>
              <w:tr2bl w:val="nil"/>
            </w:tcBorders>
            <w:noWrap w:val="0"/>
            <w:vAlign w:val="center"/>
          </w:tcPr>
          <w:p w14:paraId="73834879">
            <w:pPr>
              <w:rPr>
                <w:rFonts w:hint="default" w:ascii="Times New Roman" w:hAnsi="Times New Roman" w:eastAsia="方正仿宋简体" w:cs="Times New Roman"/>
                <w:i w:val="0"/>
                <w:iCs w:val="0"/>
                <w:color w:val="000000"/>
                <w:sz w:val="22"/>
                <w:szCs w:val="22"/>
                <w:u w:val="none"/>
              </w:rPr>
            </w:pPr>
          </w:p>
        </w:tc>
        <w:tc>
          <w:tcPr>
            <w:tcW w:w="2208" w:type="dxa"/>
            <w:vMerge w:val="continue"/>
            <w:tcBorders>
              <w:tl2br w:val="nil"/>
              <w:tr2bl w:val="nil"/>
            </w:tcBorders>
            <w:noWrap w:val="0"/>
            <w:vAlign w:val="center"/>
          </w:tcPr>
          <w:p w14:paraId="272231D8">
            <w:pPr>
              <w:rPr>
                <w:rFonts w:hint="default" w:ascii="Times New Roman" w:hAnsi="Times New Roman" w:eastAsia="方正仿宋简体" w:cs="Times New Roman"/>
                <w:i w:val="0"/>
                <w:iCs w:val="0"/>
                <w:color w:val="000000"/>
                <w:sz w:val="22"/>
                <w:szCs w:val="22"/>
                <w:u w:val="none"/>
              </w:rPr>
            </w:pPr>
          </w:p>
        </w:tc>
        <w:tc>
          <w:tcPr>
            <w:tcW w:w="6375" w:type="dxa"/>
            <w:tcBorders>
              <w:tl2br w:val="nil"/>
              <w:tr2bl w:val="nil"/>
            </w:tcBorders>
            <w:noWrap w:val="0"/>
            <w:vAlign w:val="center"/>
          </w:tcPr>
          <w:p w14:paraId="234D40C1">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提高思想认识，严格执行</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三重一大</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会议研究制度，规范民主决策议事规则；对报销产生费用进行核对，确保每一笔费用符合使用，对不符合支出部分进行退回，对符合支出的经村</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研究审核通过，完善痕迹材料。</w:t>
            </w:r>
          </w:p>
        </w:tc>
        <w:tc>
          <w:tcPr>
            <w:tcW w:w="1343" w:type="dxa"/>
            <w:tcBorders>
              <w:tl2br w:val="nil"/>
              <w:tr2bl w:val="nil"/>
            </w:tcBorders>
            <w:noWrap w:val="0"/>
            <w:vAlign w:val="center"/>
          </w:tcPr>
          <w:p w14:paraId="59CD5922">
            <w:pPr>
              <w:jc w:val="center"/>
              <w:rPr>
                <w:rFonts w:hint="default" w:ascii="Times New Roman" w:hAnsi="Times New Roman" w:eastAsia="宋体" w:cs="Times New Roman"/>
                <w:i w:val="0"/>
                <w:iCs w:val="0"/>
                <w:color w:val="000000"/>
                <w:sz w:val="24"/>
                <w:szCs w:val="24"/>
                <w:u w:val="none"/>
              </w:rPr>
            </w:pPr>
          </w:p>
        </w:tc>
      </w:tr>
      <w:tr w14:paraId="40091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2" w:hRule="atLeast"/>
          <w:jc w:val="center"/>
        </w:trPr>
        <w:tc>
          <w:tcPr>
            <w:tcW w:w="968" w:type="dxa"/>
            <w:tcBorders>
              <w:tl2br w:val="nil"/>
              <w:tr2bl w:val="nil"/>
            </w:tcBorders>
            <w:noWrap w:val="0"/>
            <w:vAlign w:val="center"/>
          </w:tcPr>
          <w:p w14:paraId="7AA62AA8">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22</w:t>
            </w:r>
          </w:p>
        </w:tc>
        <w:tc>
          <w:tcPr>
            <w:tcW w:w="1892" w:type="dxa"/>
            <w:vMerge w:val="continue"/>
            <w:tcBorders>
              <w:tl2br w:val="nil"/>
              <w:tr2bl w:val="nil"/>
            </w:tcBorders>
            <w:noWrap w:val="0"/>
            <w:vAlign w:val="center"/>
          </w:tcPr>
          <w:p w14:paraId="7B42180E">
            <w:pPr>
              <w:rPr>
                <w:rFonts w:hint="default" w:ascii="Times New Roman" w:hAnsi="Times New Roman" w:eastAsia="方正仿宋简体" w:cs="Times New Roman"/>
                <w:i w:val="0"/>
                <w:iCs w:val="0"/>
                <w:color w:val="000000"/>
                <w:sz w:val="22"/>
                <w:szCs w:val="22"/>
                <w:u w:val="none"/>
              </w:rPr>
            </w:pPr>
          </w:p>
        </w:tc>
        <w:tc>
          <w:tcPr>
            <w:tcW w:w="2208" w:type="dxa"/>
            <w:tcBorders>
              <w:tl2br w:val="nil"/>
              <w:tr2bl w:val="nil"/>
            </w:tcBorders>
            <w:noWrap w:val="0"/>
            <w:vAlign w:val="center"/>
          </w:tcPr>
          <w:p w14:paraId="6C28E24E">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2.及时配备村组干部</w:t>
            </w:r>
          </w:p>
        </w:tc>
        <w:tc>
          <w:tcPr>
            <w:tcW w:w="6375" w:type="dxa"/>
            <w:tcBorders>
              <w:tl2br w:val="nil"/>
              <w:tr2bl w:val="nil"/>
            </w:tcBorders>
            <w:noWrap w:val="0"/>
            <w:vAlign w:val="center"/>
          </w:tcPr>
          <w:p w14:paraId="07613D6A">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一是加强村干部队伍建设，已及时进行人选考察，并报送上级部门进行资格联审，目前已配齐。二是及时督促新任小组干部材料移交，并做好监交材料。同时加强小组干部业务培训，及时掌握农村</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三资</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管理和各类惠民政策宣传执行。</w:t>
            </w:r>
          </w:p>
        </w:tc>
        <w:tc>
          <w:tcPr>
            <w:tcW w:w="1343" w:type="dxa"/>
            <w:tcBorders>
              <w:tl2br w:val="nil"/>
              <w:tr2bl w:val="nil"/>
            </w:tcBorders>
            <w:noWrap w:val="0"/>
            <w:vAlign w:val="center"/>
          </w:tcPr>
          <w:p w14:paraId="4D145C3D">
            <w:pPr>
              <w:jc w:val="center"/>
              <w:rPr>
                <w:rFonts w:hint="default" w:ascii="Times New Roman" w:hAnsi="Times New Roman" w:eastAsia="宋体" w:cs="Times New Roman"/>
                <w:i w:val="0"/>
                <w:iCs w:val="0"/>
                <w:color w:val="000000"/>
                <w:sz w:val="24"/>
                <w:szCs w:val="24"/>
                <w:u w:val="none"/>
              </w:rPr>
            </w:pPr>
          </w:p>
        </w:tc>
      </w:tr>
      <w:tr w14:paraId="17FC3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6" w:hRule="atLeast"/>
          <w:jc w:val="center"/>
        </w:trPr>
        <w:tc>
          <w:tcPr>
            <w:tcW w:w="968" w:type="dxa"/>
            <w:tcBorders>
              <w:tl2br w:val="nil"/>
              <w:tr2bl w:val="nil"/>
            </w:tcBorders>
            <w:noWrap w:val="0"/>
            <w:vAlign w:val="center"/>
          </w:tcPr>
          <w:p w14:paraId="51BD1FDE">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23</w:t>
            </w:r>
          </w:p>
        </w:tc>
        <w:tc>
          <w:tcPr>
            <w:tcW w:w="1892" w:type="dxa"/>
            <w:vMerge w:val="continue"/>
            <w:tcBorders>
              <w:tl2br w:val="nil"/>
              <w:tr2bl w:val="nil"/>
            </w:tcBorders>
            <w:noWrap w:val="0"/>
            <w:vAlign w:val="center"/>
          </w:tcPr>
          <w:p w14:paraId="68BBABAD">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p>
        </w:tc>
        <w:tc>
          <w:tcPr>
            <w:tcW w:w="2208" w:type="dxa"/>
            <w:tcBorders>
              <w:tl2br w:val="nil"/>
              <w:tr2bl w:val="nil"/>
            </w:tcBorders>
            <w:noWrap w:val="0"/>
            <w:vAlign w:val="center"/>
          </w:tcPr>
          <w:p w14:paraId="22C523BB">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强化村务监督委员会履职</w:t>
            </w:r>
          </w:p>
        </w:tc>
        <w:tc>
          <w:tcPr>
            <w:tcW w:w="6375" w:type="dxa"/>
            <w:tcBorders>
              <w:tl2br w:val="nil"/>
              <w:tr2bl w:val="nil"/>
            </w:tcBorders>
            <w:noWrap w:val="0"/>
            <w:vAlign w:val="center"/>
          </w:tcPr>
          <w:p w14:paraId="36F0F88E">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一是进一步提高思想认识，加强对村务监督委主任及委员的业务知识培训指导，提升履职尽责能力，抓好村纪检监察干部队伍自身建设。二是加强日常监督，严肃纪律作风整治，切实扛起工作监督职责抓落实。</w:t>
            </w:r>
          </w:p>
        </w:tc>
        <w:tc>
          <w:tcPr>
            <w:tcW w:w="1343" w:type="dxa"/>
            <w:tcBorders>
              <w:tl2br w:val="nil"/>
              <w:tr2bl w:val="nil"/>
            </w:tcBorders>
            <w:noWrap w:val="0"/>
            <w:vAlign w:val="center"/>
          </w:tcPr>
          <w:p w14:paraId="5F6592FB">
            <w:pPr>
              <w:jc w:val="center"/>
              <w:rPr>
                <w:rFonts w:hint="default" w:ascii="Times New Roman" w:hAnsi="Times New Roman" w:eastAsia="宋体" w:cs="Times New Roman"/>
                <w:i w:val="0"/>
                <w:iCs w:val="0"/>
                <w:color w:val="000000"/>
                <w:sz w:val="24"/>
                <w:szCs w:val="24"/>
                <w:u w:val="none"/>
              </w:rPr>
            </w:pPr>
          </w:p>
        </w:tc>
      </w:tr>
      <w:tr w14:paraId="13293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6" w:hRule="atLeast"/>
          <w:jc w:val="center"/>
        </w:trPr>
        <w:tc>
          <w:tcPr>
            <w:tcW w:w="968" w:type="dxa"/>
            <w:tcBorders>
              <w:tl2br w:val="nil"/>
              <w:tr2bl w:val="nil"/>
            </w:tcBorders>
            <w:noWrap w:val="0"/>
            <w:vAlign w:val="center"/>
          </w:tcPr>
          <w:p w14:paraId="7302C559">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24</w:t>
            </w:r>
          </w:p>
        </w:tc>
        <w:tc>
          <w:tcPr>
            <w:tcW w:w="1892" w:type="dxa"/>
            <w:vMerge w:val="restart"/>
            <w:tcBorders>
              <w:tl2br w:val="nil"/>
              <w:tr2bl w:val="nil"/>
            </w:tcBorders>
            <w:noWrap w:val="0"/>
            <w:vAlign w:val="center"/>
          </w:tcPr>
          <w:p w14:paraId="2D8531AE">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五</w:t>
            </w:r>
            <w:r>
              <w:rPr>
                <w:rFonts w:hint="default" w:ascii="Times New Roman" w:hAnsi="Times New Roman" w:eastAsia="方正仿宋简体" w:cs="Times New Roman"/>
                <w:i w:val="0"/>
                <w:iCs w:val="0"/>
                <w:color w:val="000000"/>
                <w:kern w:val="0"/>
                <w:sz w:val="22"/>
                <w:szCs w:val="22"/>
                <w:u w:val="none"/>
                <w:lang w:val="en-US" w:eastAsia="zh-CN" w:bidi="ar"/>
              </w:rPr>
              <w:t>、关于检查基层党组织领导班子和干部队伍建设方面的整改进展情况</w:t>
            </w:r>
          </w:p>
        </w:tc>
        <w:tc>
          <w:tcPr>
            <w:tcW w:w="2208" w:type="dxa"/>
            <w:vMerge w:val="restart"/>
            <w:tcBorders>
              <w:tl2br w:val="nil"/>
              <w:tr2bl w:val="nil"/>
            </w:tcBorders>
            <w:noWrap w:val="0"/>
            <w:vAlign w:val="center"/>
          </w:tcPr>
          <w:p w14:paraId="6B46B589">
            <w:pPr>
              <w:keepNext w:val="0"/>
              <w:keepLines w:val="0"/>
              <w:widowControl/>
              <w:suppressLineNumbers w:val="0"/>
              <w:ind w:left="0" w:leftChars="0" w:right="0" w:rightChars="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4.</w:t>
            </w:r>
            <w:r>
              <w:rPr>
                <w:rFonts w:hint="default" w:ascii="Times New Roman" w:hAnsi="Times New Roman" w:eastAsia="方正仿宋简体" w:cs="Times New Roman"/>
                <w:i w:val="0"/>
                <w:iCs w:val="0"/>
                <w:color w:val="000000"/>
                <w:kern w:val="0"/>
                <w:sz w:val="22"/>
                <w:szCs w:val="22"/>
                <w:u w:val="none"/>
                <w:lang w:val="en-US" w:eastAsia="zh-CN" w:bidi="ar"/>
              </w:rPr>
              <w:t>扎实开展基础党建工作</w:t>
            </w:r>
          </w:p>
        </w:tc>
        <w:tc>
          <w:tcPr>
            <w:tcW w:w="6375" w:type="dxa"/>
            <w:tcBorders>
              <w:tl2br w:val="nil"/>
              <w:tr2bl w:val="nil"/>
            </w:tcBorders>
            <w:noWrap/>
            <w:vAlign w:val="center"/>
          </w:tcPr>
          <w:p w14:paraId="37D4CC75">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提高思想认识，强化各支部书记责任，严格执行党组织生活制度，加强组织生活会要求。做好指导并严格审核会议前材料审核，对未开展谈心谈话、存在材料雷同的个人督促其进行了重写。二是精心组织召开了巡察整改组织生活会议，同时对各党支部做好指导，并严格按照程序要求召开会议，做好材料审核把关。</w:t>
            </w:r>
          </w:p>
        </w:tc>
        <w:tc>
          <w:tcPr>
            <w:tcW w:w="1343" w:type="dxa"/>
            <w:tcBorders>
              <w:tl2br w:val="nil"/>
              <w:tr2bl w:val="nil"/>
            </w:tcBorders>
            <w:noWrap w:val="0"/>
            <w:vAlign w:val="center"/>
          </w:tcPr>
          <w:p w14:paraId="3B63BFBA">
            <w:pPr>
              <w:jc w:val="center"/>
              <w:rPr>
                <w:rFonts w:hint="default" w:ascii="Times New Roman" w:hAnsi="Times New Roman" w:eastAsia="宋体" w:cs="Times New Roman"/>
                <w:i w:val="0"/>
                <w:iCs w:val="0"/>
                <w:color w:val="000000"/>
                <w:sz w:val="24"/>
                <w:szCs w:val="24"/>
                <w:u w:val="none"/>
              </w:rPr>
            </w:pPr>
          </w:p>
        </w:tc>
      </w:tr>
      <w:tr w14:paraId="3F666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5" w:hRule="atLeast"/>
          <w:jc w:val="center"/>
        </w:trPr>
        <w:tc>
          <w:tcPr>
            <w:tcW w:w="968" w:type="dxa"/>
            <w:tcBorders>
              <w:tl2br w:val="nil"/>
              <w:tr2bl w:val="nil"/>
            </w:tcBorders>
            <w:noWrap w:val="0"/>
            <w:vAlign w:val="center"/>
          </w:tcPr>
          <w:p w14:paraId="631D97AB">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25</w:t>
            </w:r>
          </w:p>
        </w:tc>
        <w:tc>
          <w:tcPr>
            <w:tcW w:w="1892" w:type="dxa"/>
            <w:vMerge w:val="continue"/>
            <w:tcBorders>
              <w:tl2br w:val="nil"/>
              <w:tr2bl w:val="nil"/>
            </w:tcBorders>
            <w:noWrap w:val="0"/>
            <w:vAlign w:val="center"/>
          </w:tcPr>
          <w:p w14:paraId="70BDF6F7">
            <w:pPr>
              <w:rPr>
                <w:rFonts w:hint="default" w:ascii="Times New Roman" w:hAnsi="Times New Roman" w:eastAsia="方正仿宋简体" w:cs="Times New Roman"/>
                <w:i w:val="0"/>
                <w:iCs w:val="0"/>
                <w:color w:val="000000"/>
                <w:sz w:val="22"/>
                <w:szCs w:val="22"/>
                <w:u w:val="none"/>
              </w:rPr>
            </w:pPr>
          </w:p>
        </w:tc>
        <w:tc>
          <w:tcPr>
            <w:tcW w:w="2208" w:type="dxa"/>
            <w:vMerge w:val="continue"/>
            <w:tcBorders>
              <w:tl2br w:val="nil"/>
              <w:tr2bl w:val="nil"/>
            </w:tcBorders>
            <w:noWrap w:val="0"/>
            <w:vAlign w:val="center"/>
          </w:tcPr>
          <w:p w14:paraId="354FEB8E">
            <w:pPr>
              <w:rPr>
                <w:rFonts w:hint="default" w:ascii="Times New Roman" w:hAnsi="Times New Roman" w:eastAsia="方正仿宋简体" w:cs="Times New Roman"/>
                <w:i w:val="0"/>
                <w:iCs w:val="0"/>
                <w:color w:val="000000"/>
                <w:sz w:val="22"/>
                <w:szCs w:val="22"/>
                <w:u w:val="none"/>
              </w:rPr>
            </w:pPr>
          </w:p>
        </w:tc>
        <w:tc>
          <w:tcPr>
            <w:tcW w:w="6375" w:type="dxa"/>
            <w:tcBorders>
              <w:tl2br w:val="nil"/>
              <w:tr2bl w:val="nil"/>
            </w:tcBorders>
            <w:noWrap w:val="0"/>
            <w:vAlign w:val="center"/>
          </w:tcPr>
          <w:p w14:paraId="7902215B">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强化基层党建责任压紧压实，形成村党组织书记总体抓、村副书记具体抓、两位成员分片抓的工作机制。二是加强党建工作业务培训，通过自学、集中培训和现场指导等方式加大党建知识和业务提升，认真落实</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三会一课</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、谈心谈话和组织生活会、民主评议党员和主题党日等制度。</w:t>
            </w:r>
          </w:p>
        </w:tc>
        <w:tc>
          <w:tcPr>
            <w:tcW w:w="1343" w:type="dxa"/>
            <w:tcBorders>
              <w:tl2br w:val="nil"/>
              <w:tr2bl w:val="nil"/>
            </w:tcBorders>
            <w:noWrap w:val="0"/>
            <w:vAlign w:val="center"/>
          </w:tcPr>
          <w:p w14:paraId="6135C4C2">
            <w:pPr>
              <w:jc w:val="center"/>
              <w:rPr>
                <w:rFonts w:hint="default" w:ascii="Times New Roman" w:hAnsi="Times New Roman" w:eastAsia="宋体" w:cs="Times New Roman"/>
                <w:i w:val="0"/>
                <w:iCs w:val="0"/>
                <w:color w:val="000000"/>
                <w:sz w:val="24"/>
                <w:szCs w:val="24"/>
                <w:u w:val="none"/>
              </w:rPr>
            </w:pPr>
          </w:p>
        </w:tc>
      </w:tr>
      <w:tr w14:paraId="66496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1" w:hRule="atLeast"/>
          <w:jc w:val="center"/>
        </w:trPr>
        <w:tc>
          <w:tcPr>
            <w:tcW w:w="968" w:type="dxa"/>
            <w:tcBorders>
              <w:tl2br w:val="nil"/>
              <w:tr2bl w:val="nil"/>
            </w:tcBorders>
            <w:noWrap w:val="0"/>
            <w:vAlign w:val="center"/>
          </w:tcPr>
          <w:p w14:paraId="762D6902">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26</w:t>
            </w:r>
          </w:p>
        </w:tc>
        <w:tc>
          <w:tcPr>
            <w:tcW w:w="1892" w:type="dxa"/>
            <w:vMerge w:val="continue"/>
            <w:tcBorders>
              <w:tl2br w:val="nil"/>
              <w:tr2bl w:val="nil"/>
            </w:tcBorders>
            <w:noWrap w:val="0"/>
            <w:vAlign w:val="center"/>
          </w:tcPr>
          <w:p w14:paraId="46F40759">
            <w:pPr>
              <w:rPr>
                <w:rFonts w:hint="default" w:ascii="Times New Roman" w:hAnsi="Times New Roman" w:eastAsia="方正仿宋简体" w:cs="Times New Roman"/>
                <w:i w:val="0"/>
                <w:iCs w:val="0"/>
                <w:color w:val="000000"/>
                <w:sz w:val="22"/>
                <w:szCs w:val="22"/>
                <w:u w:val="none"/>
              </w:rPr>
            </w:pPr>
          </w:p>
        </w:tc>
        <w:tc>
          <w:tcPr>
            <w:tcW w:w="2208" w:type="dxa"/>
            <w:vMerge w:val="continue"/>
            <w:tcBorders>
              <w:tl2br w:val="nil"/>
              <w:tr2bl w:val="nil"/>
            </w:tcBorders>
            <w:noWrap w:val="0"/>
            <w:vAlign w:val="center"/>
          </w:tcPr>
          <w:p w14:paraId="37A00042">
            <w:pPr>
              <w:rPr>
                <w:rFonts w:hint="default" w:ascii="Times New Roman" w:hAnsi="Times New Roman" w:eastAsia="方正仿宋简体" w:cs="Times New Roman"/>
                <w:i w:val="0"/>
                <w:iCs w:val="0"/>
                <w:color w:val="000000"/>
                <w:sz w:val="22"/>
                <w:szCs w:val="22"/>
                <w:u w:val="none"/>
              </w:rPr>
            </w:pPr>
          </w:p>
        </w:tc>
        <w:tc>
          <w:tcPr>
            <w:tcW w:w="6375" w:type="dxa"/>
            <w:tcBorders>
              <w:tl2br w:val="nil"/>
              <w:tr2bl w:val="nil"/>
            </w:tcBorders>
            <w:noWrap w:val="0"/>
            <w:vAlign w:val="center"/>
          </w:tcPr>
          <w:p w14:paraId="07ECF9C1">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一是严格执行</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三会一课</w:t>
            </w:r>
            <w:r>
              <w:rPr>
                <w:rFonts w:hint="eastAsia" w:cs="Times New Roman"/>
                <w:b w:val="0"/>
                <w:bCs w:val="0"/>
                <w:i w:val="0"/>
                <w:iCs w:val="0"/>
                <w:color w:val="000000"/>
                <w:kern w:val="0"/>
                <w:sz w:val="22"/>
                <w:szCs w:val="22"/>
                <w:u w:val="none"/>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制度，加强村各支部书记教育学习，严格执行党内制度。加大督促指导力度，定期进行未开展情况提醒或通报。二是组织党支部专项学习，规范支部会议及相关材料。</w:t>
            </w:r>
          </w:p>
        </w:tc>
        <w:tc>
          <w:tcPr>
            <w:tcW w:w="1343" w:type="dxa"/>
            <w:tcBorders>
              <w:tl2br w:val="nil"/>
              <w:tr2bl w:val="nil"/>
            </w:tcBorders>
            <w:noWrap w:val="0"/>
            <w:vAlign w:val="center"/>
          </w:tcPr>
          <w:p w14:paraId="345B0C12">
            <w:pPr>
              <w:jc w:val="center"/>
              <w:rPr>
                <w:rFonts w:hint="default" w:ascii="Times New Roman" w:hAnsi="Times New Roman" w:eastAsia="宋体" w:cs="Times New Roman"/>
                <w:i w:val="0"/>
                <w:iCs w:val="0"/>
                <w:color w:val="000000"/>
                <w:sz w:val="24"/>
                <w:szCs w:val="24"/>
                <w:u w:val="none"/>
              </w:rPr>
            </w:pPr>
          </w:p>
        </w:tc>
      </w:tr>
      <w:tr w14:paraId="76B73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72" w:hRule="atLeast"/>
          <w:jc w:val="center"/>
        </w:trPr>
        <w:tc>
          <w:tcPr>
            <w:tcW w:w="968" w:type="dxa"/>
            <w:tcBorders>
              <w:tl2br w:val="nil"/>
              <w:tr2bl w:val="nil"/>
            </w:tcBorders>
            <w:noWrap w:val="0"/>
            <w:vAlign w:val="center"/>
          </w:tcPr>
          <w:p w14:paraId="3104592A">
            <w:pPr>
              <w:keepNext w:val="0"/>
              <w:keepLines w:val="0"/>
              <w:widowControl/>
              <w:suppressLineNumbers w:val="0"/>
              <w:ind w:left="0" w:leftChars="0" w:right="0" w:rightChars="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27</w:t>
            </w:r>
          </w:p>
        </w:tc>
        <w:tc>
          <w:tcPr>
            <w:tcW w:w="1892" w:type="dxa"/>
            <w:vMerge w:val="continue"/>
            <w:tcBorders>
              <w:tl2br w:val="nil"/>
              <w:tr2bl w:val="nil"/>
            </w:tcBorders>
            <w:noWrap w:val="0"/>
            <w:vAlign w:val="center"/>
          </w:tcPr>
          <w:p w14:paraId="6CE0188C">
            <w:pPr>
              <w:rPr>
                <w:rFonts w:hint="default" w:ascii="Times New Roman" w:hAnsi="Times New Roman" w:eastAsia="方正仿宋简体" w:cs="Times New Roman"/>
                <w:i w:val="0"/>
                <w:iCs w:val="0"/>
                <w:color w:val="000000"/>
                <w:sz w:val="22"/>
                <w:szCs w:val="22"/>
                <w:u w:val="none"/>
              </w:rPr>
            </w:pPr>
          </w:p>
        </w:tc>
        <w:tc>
          <w:tcPr>
            <w:tcW w:w="2208" w:type="dxa"/>
            <w:vMerge w:val="continue"/>
            <w:tcBorders>
              <w:tl2br w:val="nil"/>
              <w:tr2bl w:val="nil"/>
            </w:tcBorders>
            <w:noWrap w:val="0"/>
            <w:vAlign w:val="center"/>
          </w:tcPr>
          <w:p w14:paraId="57D193C2">
            <w:pPr>
              <w:rPr>
                <w:rFonts w:hint="default" w:ascii="Times New Roman" w:hAnsi="Times New Roman" w:eastAsia="方正仿宋简体" w:cs="Times New Roman"/>
                <w:i w:val="0"/>
                <w:iCs w:val="0"/>
                <w:color w:val="000000"/>
                <w:sz w:val="22"/>
                <w:szCs w:val="22"/>
                <w:u w:val="none"/>
              </w:rPr>
            </w:pPr>
          </w:p>
        </w:tc>
        <w:tc>
          <w:tcPr>
            <w:tcW w:w="6375" w:type="dxa"/>
            <w:tcBorders>
              <w:tl2br w:val="nil"/>
              <w:tr2bl w:val="nil"/>
            </w:tcBorders>
            <w:noWrap w:val="0"/>
            <w:vAlign w:val="center"/>
          </w:tcPr>
          <w:p w14:paraId="2C48E35B">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严格执行党费收缴管理使用制度，常态化开展督查指导。坚持每月造册收缴党费，规范党费收缴管理，完善好党费收缴上报相关材料归档工作。二是不定期对村各支部党费收缴情况进行督查，及时督促未缴纳党总支的预备党员进行党费补交，并进行个人谈话提醒。</w:t>
            </w:r>
          </w:p>
        </w:tc>
        <w:tc>
          <w:tcPr>
            <w:tcW w:w="1343" w:type="dxa"/>
            <w:tcBorders>
              <w:tl2br w:val="nil"/>
              <w:tr2bl w:val="nil"/>
            </w:tcBorders>
            <w:noWrap w:val="0"/>
            <w:vAlign w:val="center"/>
          </w:tcPr>
          <w:p w14:paraId="39518CA4">
            <w:pPr>
              <w:jc w:val="center"/>
              <w:rPr>
                <w:rFonts w:hint="default" w:ascii="Times New Roman" w:hAnsi="Times New Roman" w:eastAsia="宋体" w:cs="Times New Roman"/>
                <w:i w:val="0"/>
                <w:iCs w:val="0"/>
                <w:color w:val="000000"/>
                <w:sz w:val="24"/>
                <w:szCs w:val="24"/>
                <w:u w:val="none"/>
              </w:rPr>
            </w:pPr>
          </w:p>
        </w:tc>
      </w:tr>
    </w:tbl>
    <w:p w14:paraId="1879B37E">
      <w:pPr>
        <w:pStyle w:val="2"/>
        <w:numPr>
          <w:ilvl w:val="0"/>
          <w:numId w:val="0"/>
        </w:numPr>
        <w:rPr>
          <w:rFonts w:hint="default"/>
          <w:lang w:val="en-US" w:eastAsia="zh-CN"/>
        </w:rPr>
        <w:sectPr>
          <w:footerReference r:id="rId3" w:type="default"/>
          <w:pgSz w:w="16840" w:h="11910" w:orient="landscape"/>
          <w:pgMar w:top="1587" w:right="2211" w:bottom="1474" w:left="1871" w:header="0" w:footer="1389" w:gutter="0"/>
          <w:pgBorders>
            <w:top w:val="none" w:sz="0" w:space="0"/>
            <w:left w:val="none" w:sz="0" w:space="0"/>
            <w:bottom w:val="none" w:sz="0" w:space="0"/>
            <w:right w:val="none" w:sz="0" w:space="0"/>
          </w:pgBorders>
          <w:pgNumType w:fmt="decimal" w:start="1"/>
          <w:cols w:space="720" w:num="1"/>
          <w:rtlGutter w:val="0"/>
          <w:docGrid w:linePitch="1" w:charSpace="0"/>
        </w:sectPr>
      </w:pPr>
    </w:p>
    <w:p w14:paraId="1BE58498">
      <w:pPr>
        <w:tabs>
          <w:tab w:val="left" w:pos="1025"/>
        </w:tabs>
        <w:bidi w:val="0"/>
        <w:jc w:val="left"/>
        <w:rPr>
          <w:rFonts w:hint="eastAsia" w:eastAsia="宋体"/>
          <w:lang w:eastAsia="zh-CN"/>
        </w:rPr>
      </w:pPr>
    </w:p>
    <w:p w14:paraId="02C25910"/>
    <w:p w14:paraId="4CC088AD"/>
    <w:p w14:paraId="384DD304"/>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仿宋简体">
    <w:altName w:val="微软雅黑"/>
    <w:panose1 w:val="03000509000000000000"/>
    <w:charset w:val="86"/>
    <w:family w:val="script"/>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0E2EF">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A1C741">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36A1C741">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C1251">
    <w:pPr>
      <w:pStyle w:val="3"/>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A10C6E"/>
    <w:rsid w:val="60A10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rPr>
      <w:sz w:val="32"/>
      <w:szCs w:val="20"/>
    </w:rPr>
  </w:style>
  <w:style w:type="paragraph" w:styleId="4">
    <w:name w:val="toc 5"/>
    <w:basedOn w:val="1"/>
    <w:next w:val="1"/>
    <w:qFormat/>
    <w:uiPriority w:val="0"/>
    <w:pPr>
      <w:ind w:left="1680" w:leftChars="800"/>
    </w:p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2026-09-03T06:55:00Z</dcterms:created>
  <dc:creator>在水一方</dc:creator>
  <cp:lastModifiedBy>在水一方</cp:lastModifiedBy>
  <dcterms:modified xsi:type="dcterms:W3CDTF">2026-09-03T06:55:29Z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D5842FF8F73A4A77AB00BB62F97BDDF6_11</vt:lpwstr>
  </property>
  <property fmtid="{D5CDD505-2E9C-101B-9397-08002B2CF9AE}" pid="4" name="KSOTemplateDocerSaveRecord">
    <vt:lpwstr>eyJoZGlkIjoiZjVkZGY1M2E5OTE3ZDk1MzRmZjIzNDNkMTIxMTcxYmIiLCJ1c2VySWQiOiI0NjM0MDM3NDMifQ==</vt:lpwstr>
  </property>
</Properties>
</file>