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8CCFF">
      <w:pPr>
        <w:rPr>
          <w:rFonts w:ascii="Times New Roman" w:hAnsi="Times New Roman"/>
        </w:rPr>
      </w:pPr>
    </w:p>
    <w:p w14:paraId="059839CB">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0" w:afterLines="0" w:line="560" w:lineRule="exact"/>
        <w:ind w:left="0" w:leftChars="0" w:firstLine="680" w:firstLineChars="200"/>
        <w:jc w:val="both"/>
        <w:textAlignment w:val="auto"/>
        <w:rPr>
          <w:rFonts w:hint="eastAsia" w:ascii="Times New Roman" w:hAnsi="Times New Roman" w:eastAsia="方正黑体简体" w:cs="方正黑体简体"/>
          <w:sz w:val="34"/>
          <w:szCs w:val="44"/>
          <w:highlight w:val="none"/>
          <w:u w:val="none" w:color="auto"/>
          <w:lang w:val="en-US" w:eastAsia="zh-CN"/>
        </w:rPr>
      </w:pPr>
      <w:bookmarkStart w:id="0" w:name="_GoBack"/>
      <w:r>
        <w:rPr>
          <w:rFonts w:hint="eastAsia" w:ascii="Times New Roman" w:hAnsi="Times New Roman" w:eastAsia="方正黑体简体" w:cs="方正黑体简体"/>
          <w:sz w:val="34"/>
          <w:szCs w:val="44"/>
          <w:highlight w:val="none"/>
          <w:u w:val="none" w:color="auto"/>
          <w:lang w:val="en-US" w:eastAsia="zh-CN"/>
        </w:rPr>
        <w:t>附件</w:t>
      </w:r>
      <w:r>
        <w:rPr>
          <w:rFonts w:hint="eastAsia" w:eastAsia="方正黑体简体" w:cs="方正黑体简体"/>
          <w:sz w:val="34"/>
          <w:szCs w:val="44"/>
          <w:highlight w:val="none"/>
          <w:u w:val="none" w:color="auto"/>
          <w:lang w:val="en-US" w:eastAsia="zh-CN"/>
        </w:rPr>
        <w:t>2</w:t>
      </w:r>
    </w:p>
    <w:bookmarkEnd w:id="0"/>
    <w:p w14:paraId="41666BEC">
      <w:pPr>
        <w:keepLines w:val="0"/>
        <w:pageBreakBefore w:val="0"/>
        <w:widowControl w:val="0"/>
        <w:kinsoku/>
        <w:wordWrap/>
        <w:topLinePunct w:val="0"/>
        <w:bidi w:val="0"/>
        <w:spacing w:line="240" w:lineRule="auto"/>
        <w:jc w:val="center"/>
        <w:textAlignment w:val="auto"/>
        <w:rPr>
          <w:rFonts w:hint="eastAsia" w:ascii="方正楷体简体" w:hAnsi="方正楷体简体" w:eastAsia="方正楷体简体" w:cs="方正楷体简体"/>
          <w:b w:val="0"/>
          <w:bCs w:val="0"/>
          <w:sz w:val="24"/>
          <w:szCs w:val="24"/>
          <w:highlight w:val="none"/>
          <w:u w:val="none" w:color="auto"/>
          <w:lang w:val="en-US" w:eastAsia="zh-CN"/>
        </w:rPr>
      </w:pPr>
      <w:r>
        <w:rPr>
          <w:rFonts w:hint="eastAsia" w:ascii="Times New Roman" w:hAnsi="Times New Roman" w:eastAsia="方正小标宋简体" w:cs="Times New Roman"/>
          <w:sz w:val="44"/>
          <w:szCs w:val="44"/>
          <w:highlight w:val="none"/>
          <w:u w:val="none" w:color="auto"/>
          <w:lang w:val="en-US" w:eastAsia="zh-CN"/>
        </w:rPr>
        <w:t>十三届县委第八轮</w:t>
      </w:r>
      <w:r>
        <w:rPr>
          <w:rFonts w:hint="default" w:ascii="Times New Roman" w:hAnsi="Times New Roman" w:eastAsia="方正小标宋简体" w:cs="Times New Roman"/>
          <w:sz w:val="44"/>
          <w:szCs w:val="44"/>
          <w:highlight w:val="none"/>
          <w:u w:val="none" w:color="auto"/>
          <w:lang w:val="en-US" w:eastAsia="zh-CN"/>
        </w:rPr>
        <w:t>巡察</w:t>
      </w:r>
      <w:r>
        <w:rPr>
          <w:rFonts w:hint="eastAsia" w:eastAsia="方正小标宋简体" w:cs="Times New Roman"/>
          <w:sz w:val="44"/>
          <w:szCs w:val="44"/>
          <w:highlight w:val="none"/>
          <w:u w:val="none" w:color="auto"/>
          <w:lang w:val="en-US" w:eastAsia="zh-CN"/>
        </w:rPr>
        <w:t>水塘村</w:t>
      </w:r>
      <w:r>
        <w:rPr>
          <w:rFonts w:hint="eastAsia" w:ascii="Times New Roman" w:hAnsi="Times New Roman" w:eastAsia="方正小标宋简体" w:cs="Times New Roman"/>
          <w:sz w:val="44"/>
          <w:szCs w:val="44"/>
          <w:highlight w:val="none"/>
          <w:u w:val="none" w:color="auto"/>
          <w:lang w:val="en-US" w:eastAsia="zh-CN"/>
        </w:rPr>
        <w:t>社会公开台账</w:t>
      </w:r>
    </w:p>
    <w:p w14:paraId="00917C54">
      <w:pPr>
        <w:keepLines w:val="0"/>
        <w:pageBreakBefore w:val="0"/>
        <w:widowControl w:val="0"/>
        <w:kinsoku/>
        <w:wordWrap/>
        <w:topLinePunct w:val="0"/>
        <w:bidi w:val="0"/>
        <w:spacing w:line="240" w:lineRule="auto"/>
        <w:ind w:firstLine="660" w:firstLineChars="200"/>
        <w:jc w:val="left"/>
        <w:textAlignment w:val="auto"/>
        <w:rPr>
          <w:rFonts w:hint="eastAsia" w:ascii="方正楷体简体" w:hAnsi="方正楷体简体" w:eastAsia="方正楷体简体" w:cs="方正楷体简体"/>
          <w:b w:val="0"/>
          <w:bCs w:val="0"/>
          <w:sz w:val="24"/>
          <w:szCs w:val="24"/>
          <w:highlight w:val="none"/>
          <w:u w:val="none" w:color="auto"/>
          <w:lang w:eastAsia="zh-CN"/>
        </w:rPr>
      </w:pPr>
      <w:r>
        <w:rPr>
          <w:rFonts w:hint="eastAsia" w:ascii="方正楷体简体" w:hAnsi="方正楷体简体" w:eastAsia="方正楷体简体" w:cs="方正楷体简体"/>
          <w:b w:val="0"/>
          <w:bCs w:val="0"/>
          <w:spacing w:val="45"/>
          <w:sz w:val="24"/>
          <w:szCs w:val="24"/>
          <w:highlight w:val="none"/>
          <w:u w:val="none" w:color="auto"/>
          <w:lang w:val="en-US" w:eastAsia="zh-CN"/>
        </w:rPr>
        <w:t>填报单位（加盖公章）：中共文东佤族乡委员会        填报日期：2026年8月28日</w:t>
      </w:r>
    </w:p>
    <w:tbl>
      <w:tblPr>
        <w:tblStyle w:val="7"/>
        <w:tblW w:w="12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1935"/>
        <w:gridCol w:w="1860"/>
        <w:gridCol w:w="6495"/>
        <w:gridCol w:w="1509"/>
      </w:tblGrid>
      <w:tr w14:paraId="5A46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blHeader/>
          <w:jc w:val="center"/>
        </w:trPr>
        <w:tc>
          <w:tcPr>
            <w:tcW w:w="985" w:type="dxa"/>
            <w:noWrap w:val="0"/>
            <w:vAlign w:val="center"/>
          </w:tcPr>
          <w:p w14:paraId="1985903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序号</w:t>
            </w:r>
          </w:p>
        </w:tc>
        <w:tc>
          <w:tcPr>
            <w:tcW w:w="1935" w:type="dxa"/>
            <w:noWrap w:val="0"/>
            <w:vAlign w:val="center"/>
          </w:tcPr>
          <w:p w14:paraId="4E0F70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问题分类（二级标题）</w:t>
            </w:r>
          </w:p>
        </w:tc>
        <w:tc>
          <w:tcPr>
            <w:tcW w:w="1860" w:type="dxa"/>
            <w:noWrap w:val="0"/>
            <w:vAlign w:val="center"/>
          </w:tcPr>
          <w:p w14:paraId="713E0B5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lang w:eastAsia="zh-CN"/>
              </w:rPr>
            </w:pPr>
            <w:r>
              <w:rPr>
                <w:rFonts w:hint="eastAsia" w:eastAsia="方正黑体简体" w:cs="方正黑体简体"/>
                <w:b w:val="0"/>
                <w:bCs w:val="0"/>
                <w:color w:val="auto"/>
                <w:spacing w:val="6"/>
                <w:sz w:val="24"/>
                <w:szCs w:val="24"/>
                <w:highlight w:val="none"/>
                <w:u w:val="none" w:color="auto"/>
                <w:vertAlign w:val="baseline"/>
                <w:lang w:eastAsia="zh-CN"/>
              </w:rPr>
              <w:t>主要措施</w:t>
            </w:r>
          </w:p>
        </w:tc>
        <w:tc>
          <w:tcPr>
            <w:tcW w:w="6495" w:type="dxa"/>
            <w:noWrap w:val="0"/>
            <w:vAlign w:val="center"/>
          </w:tcPr>
          <w:p w14:paraId="435FE9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整改工作及成效</w:t>
            </w:r>
          </w:p>
        </w:tc>
        <w:tc>
          <w:tcPr>
            <w:tcW w:w="1509" w:type="dxa"/>
            <w:noWrap w:val="0"/>
            <w:vAlign w:val="center"/>
          </w:tcPr>
          <w:p w14:paraId="59B7116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kern w:val="2"/>
                <w:sz w:val="24"/>
                <w:szCs w:val="24"/>
                <w:highlight w:val="none"/>
                <w:u w:val="none" w:color="auto"/>
                <w:vertAlign w:val="baseline"/>
                <w:lang w:val="en-US" w:eastAsia="zh-CN" w:bidi="ar-SA"/>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备注</w:t>
            </w:r>
          </w:p>
        </w:tc>
      </w:tr>
      <w:tr w14:paraId="54AB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0" w:hRule="atLeast"/>
          <w:jc w:val="center"/>
        </w:trPr>
        <w:tc>
          <w:tcPr>
            <w:tcW w:w="985" w:type="dxa"/>
            <w:noWrap w:val="0"/>
            <w:vAlign w:val="center"/>
          </w:tcPr>
          <w:p w14:paraId="6FD27D4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w:t>
            </w:r>
          </w:p>
        </w:tc>
        <w:tc>
          <w:tcPr>
            <w:tcW w:w="1935" w:type="dxa"/>
            <w:noWrap w:val="0"/>
            <w:vAlign w:val="center"/>
          </w:tcPr>
          <w:p w14:paraId="17DEC24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方正仿宋简体"/>
                <w:b/>
                <w:bCs/>
                <w:color w:val="auto"/>
                <w:spacing w:val="6"/>
                <w:sz w:val="21"/>
                <w:szCs w:val="21"/>
                <w:highlight w:val="none"/>
                <w:u w:val="none" w:color="auto"/>
                <w:vertAlign w:val="baseline"/>
                <w:lang w:val="en-US" w:eastAsia="zh-CN"/>
              </w:rPr>
            </w:pPr>
            <w:r>
              <w:rPr>
                <w:rFonts w:hint="eastAsia" w:eastAsia="方正仿宋简体" w:cs="方正仿宋简体"/>
                <w:b w:val="0"/>
                <w:bCs w:val="0"/>
                <w:color w:val="auto"/>
                <w:spacing w:val="6"/>
                <w:sz w:val="21"/>
                <w:szCs w:val="21"/>
                <w:highlight w:val="none"/>
                <w:u w:val="none" w:color="auto"/>
                <w:vertAlign w:val="baseline"/>
                <w:lang w:eastAsia="zh-CN"/>
              </w:rPr>
              <w:t>一、关于</w:t>
            </w:r>
            <w:r>
              <w:rPr>
                <w:rFonts w:hint="eastAsia" w:ascii="Times New Roman" w:hAnsi="Times New Roman" w:eastAsia="方正仿宋简体" w:cs="方正仿宋简体"/>
                <w:b w:val="0"/>
                <w:bCs w:val="0"/>
                <w:color w:val="auto"/>
                <w:spacing w:val="6"/>
                <w:sz w:val="21"/>
                <w:szCs w:val="21"/>
                <w:highlight w:val="none"/>
                <w:u w:val="none" w:color="auto"/>
                <w:vertAlign w:val="baseline"/>
                <w:lang w:eastAsia="zh-CN"/>
              </w:rPr>
              <w:t>检查巡视巡察、审计等监督发现问题整改委工作要求方面的整改进展情况</w:t>
            </w:r>
          </w:p>
        </w:tc>
        <w:tc>
          <w:tcPr>
            <w:tcW w:w="1860" w:type="dxa"/>
            <w:noWrap w:val="0"/>
            <w:vAlign w:val="center"/>
          </w:tcPr>
          <w:p w14:paraId="49075C1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1.压实监督检查问题整改责任</w:t>
            </w:r>
          </w:p>
        </w:tc>
        <w:tc>
          <w:tcPr>
            <w:tcW w:w="6495" w:type="dxa"/>
            <w:noWrap w:val="0"/>
            <w:vAlign w:val="center"/>
          </w:tcPr>
          <w:p w14:paraId="5C6CFDF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组建工作队伍，入户动员农户交回款项，针对短期无法收回部分，积极与未收回款项农户协商，制定还款计划；二是明确一名村“两委”成员，每周跟进整改进度，资金收回后按要求存回村级会计委托代理服务中心账户；三是每月组织一次专题会议，对收回情况、存在的困难等进行分析研判，制定针对性催收方案；四是加大村务监督委员会职能作用发挥，加强今后对农村集体“三资”的监督和管理。</w:t>
            </w:r>
          </w:p>
        </w:tc>
        <w:tc>
          <w:tcPr>
            <w:tcW w:w="1509" w:type="dxa"/>
            <w:noWrap w:val="0"/>
            <w:vAlign w:val="center"/>
          </w:tcPr>
          <w:p w14:paraId="21C5190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15F33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0" w:hRule="atLeast"/>
          <w:jc w:val="center"/>
        </w:trPr>
        <w:tc>
          <w:tcPr>
            <w:tcW w:w="985" w:type="dxa"/>
            <w:vMerge w:val="restart"/>
            <w:noWrap w:val="0"/>
            <w:vAlign w:val="center"/>
          </w:tcPr>
          <w:p w14:paraId="3C77F14E">
            <w:pPr>
              <w:keepNext w:val="0"/>
              <w:keepLines w:val="0"/>
              <w:pageBreakBefore w:val="0"/>
              <w:widowControl w:val="0"/>
              <w:kinsoku/>
              <w:wordWrap/>
              <w:overflowPunct/>
              <w:topLinePunct w:val="0"/>
              <w:autoSpaceDE/>
              <w:autoSpaceDN/>
              <w:bidi w:val="0"/>
              <w:adjustRightInd/>
              <w:snapToGrid/>
              <w:spacing w:line="320" w:lineRule="exact"/>
              <w:ind w:firstLine="222" w:firstLineChars="100"/>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w:t>
            </w:r>
          </w:p>
        </w:tc>
        <w:tc>
          <w:tcPr>
            <w:tcW w:w="1935" w:type="dxa"/>
            <w:vMerge w:val="restart"/>
            <w:noWrap w:val="0"/>
            <w:vAlign w:val="center"/>
          </w:tcPr>
          <w:p w14:paraId="03CB173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lang w:eastAsia="zh-CN"/>
              </w:rPr>
            </w:pPr>
            <w:r>
              <w:rPr>
                <w:rFonts w:hint="eastAsia" w:eastAsia="方正仿宋简体" w:cs="Times New Roman"/>
                <w:b w:val="0"/>
                <w:bCs/>
                <w:color w:val="auto"/>
                <w:spacing w:val="0"/>
                <w:kern w:val="2"/>
                <w:sz w:val="21"/>
                <w:szCs w:val="21"/>
                <w:highlight w:val="none"/>
                <w:u w:val="none" w:color="auto"/>
                <w:lang w:val="en-US" w:eastAsia="zh-CN" w:bidi="ar-SA"/>
              </w:rPr>
              <w:t>二、关于</w:t>
            </w:r>
            <w:r>
              <w:rPr>
                <w:rFonts w:hint="eastAsia" w:ascii="Times New Roman" w:hAnsi="Times New Roman" w:eastAsia="方正仿宋简体" w:cs="Times New Roman"/>
                <w:b w:val="0"/>
                <w:bCs/>
                <w:color w:val="auto"/>
                <w:spacing w:val="0"/>
                <w:kern w:val="2"/>
                <w:sz w:val="21"/>
                <w:szCs w:val="21"/>
                <w:highlight w:val="none"/>
                <w:u w:val="none" w:color="auto"/>
                <w:lang w:val="en-US" w:eastAsia="zh-CN" w:bidi="ar-SA"/>
              </w:rPr>
              <w:t>检查学习贯彻习近平新时代中国特色社会主义思想和党的二十大和二十届二中、三中全会精神，加强政治建设方面</w:t>
            </w:r>
            <w:r>
              <w:rPr>
                <w:rFonts w:hint="eastAsia" w:ascii="Times New Roman" w:hAnsi="Times New Roman" w:eastAsia="方正仿宋简体" w:cs="方正仿宋简体"/>
                <w:b w:val="0"/>
                <w:bCs w:val="0"/>
                <w:color w:val="auto"/>
                <w:spacing w:val="6"/>
                <w:sz w:val="21"/>
                <w:szCs w:val="21"/>
                <w:highlight w:val="none"/>
                <w:u w:val="none" w:color="auto"/>
                <w:vertAlign w:val="baseline"/>
                <w:lang w:eastAsia="zh-CN"/>
              </w:rPr>
              <w:t>的整改进展情况</w:t>
            </w:r>
          </w:p>
        </w:tc>
        <w:tc>
          <w:tcPr>
            <w:tcW w:w="1860" w:type="dxa"/>
            <w:noWrap w:val="0"/>
            <w:vAlign w:val="center"/>
          </w:tcPr>
          <w:p w14:paraId="25EF4CC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eastAsia" w:eastAsia="方正仿宋简体" w:cs="（使用中文字体）"/>
                <w:b w:val="0"/>
                <w:bCs w:val="0"/>
                <w:color w:val="auto"/>
                <w:spacing w:val="6"/>
                <w:sz w:val="21"/>
                <w:szCs w:val="21"/>
                <w:highlight w:val="none"/>
                <w:u w:val="none" w:color="auto"/>
                <w:vertAlign w:val="baseline"/>
                <w:lang w:val="en-US" w:eastAsia="zh-CN"/>
              </w:rPr>
              <w:t>1.抓好学习贯彻习近平新时代中国特色社会主义思想和党的二十大精神</w:t>
            </w:r>
          </w:p>
        </w:tc>
        <w:tc>
          <w:tcPr>
            <w:tcW w:w="6495" w:type="dxa"/>
            <w:noWrap w:val="0"/>
            <w:vAlign w:val="center"/>
          </w:tcPr>
          <w:p w14:paraId="1995E2E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组织本村各级党组织深入学习“第一议题”制度相关规定，明确“第一议题”制度的重要性和具体要求，提高制度执行力；二是邀请乡级对党总支、支部书记进行培训，并制定会议议程模板下发学习；三是制定学习计划、定期持续跟进，确保“第一议题”制度持续落实。四是确定专人负责会议记录，对“第一议题”的学习内容、学习形式、讨论情况等进行详细记录，确保记录真实、准确、完整。</w:t>
            </w:r>
          </w:p>
        </w:tc>
        <w:tc>
          <w:tcPr>
            <w:tcW w:w="1509" w:type="dxa"/>
            <w:noWrap w:val="0"/>
            <w:vAlign w:val="center"/>
          </w:tcPr>
          <w:p w14:paraId="0C9FE32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11488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atLeast"/>
          <w:jc w:val="center"/>
        </w:trPr>
        <w:tc>
          <w:tcPr>
            <w:tcW w:w="985" w:type="dxa"/>
            <w:vMerge w:val="continue"/>
            <w:noWrap w:val="0"/>
            <w:vAlign w:val="center"/>
          </w:tcPr>
          <w:p w14:paraId="694FFA7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1935" w:type="dxa"/>
            <w:vMerge w:val="continue"/>
            <w:noWrap w:val="0"/>
            <w:vAlign w:val="center"/>
          </w:tcPr>
          <w:p w14:paraId="7D24070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1860" w:type="dxa"/>
            <w:noWrap w:val="0"/>
            <w:vAlign w:val="center"/>
          </w:tcPr>
          <w:p w14:paraId="5FD3372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2.强化理论培训，抓好宣传栏、政务公开栏更新</w:t>
            </w:r>
          </w:p>
        </w:tc>
        <w:tc>
          <w:tcPr>
            <w:tcW w:w="6495" w:type="dxa"/>
            <w:noWrap w:val="0"/>
            <w:vAlign w:val="center"/>
          </w:tcPr>
          <w:p w14:paraId="5F5AC43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组织专人收集组织机构信息、村情，并更新宣传栏内容；二是对村内所有宣传栏、宣传海报进行全覆盖排查，梳理滞后信息，制定更新方案，逐项更新、清理；三是村“两委”定期不定期对辖区宣传栏、政务公开栏更新情况进行检查，对未按时更新、内容错误的及时督促整改。</w:t>
            </w:r>
          </w:p>
        </w:tc>
        <w:tc>
          <w:tcPr>
            <w:tcW w:w="1509" w:type="dxa"/>
            <w:noWrap w:val="0"/>
            <w:vAlign w:val="center"/>
          </w:tcPr>
          <w:p w14:paraId="5FFA60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1107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5" w:type="dxa"/>
            <w:vMerge w:val="restart"/>
            <w:noWrap w:val="0"/>
            <w:vAlign w:val="center"/>
          </w:tcPr>
          <w:p w14:paraId="27E65B2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3</w:t>
            </w:r>
          </w:p>
        </w:tc>
        <w:tc>
          <w:tcPr>
            <w:tcW w:w="1935" w:type="dxa"/>
            <w:vMerge w:val="restart"/>
            <w:noWrap w:val="0"/>
            <w:vAlign w:val="center"/>
          </w:tcPr>
          <w:p w14:paraId="394CD5C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方正仿宋简体"/>
                <w:b/>
                <w:bCs/>
                <w:color w:val="auto"/>
                <w:spacing w:val="6"/>
                <w:sz w:val="21"/>
                <w:szCs w:val="21"/>
                <w:highlight w:val="none"/>
                <w:u w:val="none" w:color="auto"/>
                <w:vertAlign w:val="baseline"/>
                <w:lang w:eastAsia="zh-CN"/>
              </w:rPr>
            </w:pPr>
            <w:r>
              <w:rPr>
                <w:rFonts w:hint="eastAsia" w:eastAsia="方正仿宋简体" w:cs="Times New Roman"/>
                <w:b w:val="0"/>
                <w:bCs/>
                <w:color w:val="auto"/>
                <w:spacing w:val="0"/>
                <w:kern w:val="2"/>
                <w:sz w:val="21"/>
                <w:szCs w:val="21"/>
                <w:highlight w:val="none"/>
                <w:u w:val="none" w:color="auto"/>
                <w:lang w:val="en-US" w:eastAsia="zh-CN" w:bidi="ar-SA"/>
              </w:rPr>
              <w:t>三、关于</w:t>
            </w:r>
            <w:r>
              <w:rPr>
                <w:rFonts w:hint="eastAsia" w:ascii="Times New Roman" w:hAnsi="Times New Roman" w:eastAsia="方正仿宋简体" w:cs="Times New Roman"/>
                <w:b w:val="0"/>
                <w:bCs/>
                <w:color w:val="auto"/>
                <w:spacing w:val="0"/>
                <w:kern w:val="2"/>
                <w:sz w:val="21"/>
                <w:szCs w:val="21"/>
                <w:highlight w:val="none"/>
                <w:u w:val="none" w:color="auto"/>
                <w:lang w:val="en-US" w:eastAsia="zh-CN" w:bidi="ar-SA"/>
              </w:rPr>
              <w:t>检查加强的全面领导，全面深化改革方面</w:t>
            </w:r>
            <w:r>
              <w:rPr>
                <w:rFonts w:hint="eastAsia" w:ascii="Times New Roman" w:hAnsi="Times New Roman" w:eastAsia="方正仿宋简体" w:cs="方正仿宋简体"/>
                <w:b w:val="0"/>
                <w:bCs w:val="0"/>
                <w:color w:val="auto"/>
                <w:spacing w:val="6"/>
                <w:sz w:val="21"/>
                <w:szCs w:val="21"/>
                <w:highlight w:val="none"/>
                <w:u w:val="none" w:color="auto"/>
                <w:vertAlign w:val="baseline"/>
                <w:lang w:eastAsia="zh-CN"/>
              </w:rPr>
              <w:t>的整改进展情况</w:t>
            </w:r>
          </w:p>
        </w:tc>
        <w:tc>
          <w:tcPr>
            <w:tcW w:w="1860" w:type="dxa"/>
            <w:vMerge w:val="restart"/>
            <w:noWrap w:val="0"/>
            <w:vAlign w:val="center"/>
          </w:tcPr>
          <w:p w14:paraId="08830E2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eastAsia" w:eastAsia="方正仿宋简体" w:cs="（使用中文字体）"/>
                <w:b w:val="0"/>
                <w:bCs w:val="0"/>
                <w:color w:val="auto"/>
                <w:spacing w:val="6"/>
                <w:sz w:val="21"/>
                <w:szCs w:val="21"/>
                <w:highlight w:val="none"/>
                <w:u w:val="none" w:color="auto"/>
                <w:vertAlign w:val="baseline"/>
                <w:lang w:val="en-US" w:eastAsia="zh-CN"/>
              </w:rPr>
              <w:t>1.完善防返贫动态监测调整工作程序、台账资料</w:t>
            </w:r>
            <w:r>
              <w:rPr>
                <w:rFonts w:hint="default" w:ascii="Times New Roman" w:hAnsi="Times New Roman" w:eastAsia="方正仿宋简体" w:cs="（使用中文字体）"/>
                <w:b w:val="0"/>
                <w:bCs w:val="0"/>
                <w:color w:val="auto"/>
                <w:spacing w:val="6"/>
                <w:sz w:val="21"/>
                <w:szCs w:val="21"/>
                <w:highlight w:val="none"/>
                <w:u w:val="none" w:color="auto"/>
                <w:vertAlign w:val="baseline"/>
              </w:rPr>
              <w:t>。</w:t>
            </w:r>
          </w:p>
        </w:tc>
        <w:tc>
          <w:tcPr>
            <w:tcW w:w="6495" w:type="dxa"/>
            <w:noWrap w:val="0"/>
            <w:vAlign w:val="center"/>
          </w:tcPr>
          <w:p w14:paraId="40E83E7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eastAsia" w:eastAsia="方正仿宋简体" w:cs="（使用中文字体）"/>
                <w:b w:val="0"/>
                <w:bCs w:val="0"/>
                <w:color w:val="auto"/>
                <w:spacing w:val="6"/>
                <w:sz w:val="21"/>
                <w:szCs w:val="21"/>
                <w:highlight w:val="none"/>
                <w:u w:val="none" w:color="auto"/>
                <w:vertAlign w:val="baseline"/>
                <w:lang w:eastAsia="zh-CN"/>
              </w:rPr>
              <w:t>一是</w:t>
            </w:r>
            <w:r>
              <w:rPr>
                <w:rFonts w:hint="default" w:ascii="Times New Roman" w:hAnsi="Times New Roman" w:eastAsia="方正仿宋简体" w:cs="（使用中文字体）"/>
                <w:b w:val="0"/>
                <w:bCs w:val="0"/>
                <w:color w:val="auto"/>
                <w:spacing w:val="6"/>
                <w:sz w:val="21"/>
                <w:szCs w:val="21"/>
                <w:highlight w:val="none"/>
                <w:u w:val="none" w:color="auto"/>
                <w:vertAlign w:val="baseline"/>
              </w:rPr>
              <w:t>记录与附件不符问题，重新梳理对应会议的原始记录，确保附件、记录对应，所有补正资料经村“两委”成员、派驻驻村工作队、乡工作队交叉审核后存档，杜绝虚假材料。二是强化动态监测工作规范学习，利用周例会，驻村工作小课堂等方式组织村“两委”成员、小组长、驻村工作队开展业务学习，重点学习《防返贫动态监测工作指南》中关于会议组织、记录规范、档案归档等方面具体要求，并在今后严格按照工作指南要求开展防返贫动态监测工作。明确每户监测对象需包含的资料：入户调查表、风险研判记录、评议表决材料、公示照片、帮扶措施及成效记录等，统一格式、规范填写，做到“一户一档、内容真实、逻辑清晰”；三是安排专人负责台账整理归档，对资料完整性、规范性进行自查，对缺项、错项及时整改，确保台账与实际情况一致。</w:t>
            </w:r>
          </w:p>
        </w:tc>
        <w:tc>
          <w:tcPr>
            <w:tcW w:w="1509" w:type="dxa"/>
            <w:noWrap w:val="0"/>
            <w:vAlign w:val="center"/>
          </w:tcPr>
          <w:p w14:paraId="72054F2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00B5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5" w:type="dxa"/>
            <w:vMerge w:val="continue"/>
            <w:noWrap w:val="0"/>
            <w:vAlign w:val="center"/>
          </w:tcPr>
          <w:p w14:paraId="081FC3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1935" w:type="dxa"/>
            <w:vMerge w:val="continue"/>
            <w:noWrap w:val="0"/>
            <w:vAlign w:val="center"/>
          </w:tcPr>
          <w:p w14:paraId="7C72FA2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1860" w:type="dxa"/>
            <w:vMerge w:val="continue"/>
            <w:noWrap w:val="0"/>
            <w:vAlign w:val="center"/>
          </w:tcPr>
          <w:p w14:paraId="1EDFCD5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c>
          <w:tcPr>
            <w:tcW w:w="6495" w:type="dxa"/>
            <w:noWrap w:val="0"/>
            <w:vAlign w:val="center"/>
          </w:tcPr>
          <w:p w14:paraId="2248806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组织涉及的小组，按照参会人员名单组织人员核实会议内容，梳理重新完善党员和户主评议登记内容；二是继续强化动态监测工作规范培训，并明确挂组人员进行会议程序、记录等指导；三是严格执行“农户申报、入户排查、村小组评议、村级审核、乡镇复核”全流程，重点强化村小组评议环节：明确党员、户主代表参会比例，评议时逐户介绍监测对象家庭情况、致贫返贫风险，组织充分讨论并现场表决，形成书面评议记录。</w:t>
            </w:r>
          </w:p>
        </w:tc>
        <w:tc>
          <w:tcPr>
            <w:tcW w:w="1509" w:type="dxa"/>
            <w:noWrap w:val="0"/>
            <w:vAlign w:val="center"/>
          </w:tcPr>
          <w:p w14:paraId="2889842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4D68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5" w:type="dxa"/>
            <w:vMerge w:val="continue"/>
            <w:noWrap w:val="0"/>
            <w:vAlign w:val="center"/>
          </w:tcPr>
          <w:p w14:paraId="16D696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1935" w:type="dxa"/>
            <w:vMerge w:val="continue"/>
            <w:noWrap w:val="0"/>
            <w:vAlign w:val="center"/>
          </w:tcPr>
          <w:p w14:paraId="108409D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1860" w:type="dxa"/>
            <w:vMerge w:val="continue"/>
            <w:noWrap w:val="0"/>
            <w:vAlign w:val="center"/>
          </w:tcPr>
          <w:p w14:paraId="243F204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6495" w:type="dxa"/>
            <w:noWrap w:val="0"/>
            <w:vAlign w:val="center"/>
          </w:tcPr>
          <w:p w14:paraId="389901D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邀请乡级进行业务培训，明确公示必备要素，包括监测对象姓名、家庭人口、致贫/返贫风险类型、拟定纳入/退出理由、公示期限（不少于5个工作日）、受理举报电话及地址等，确保信息完整、清晰可辨；二是由村村务监督委员会牵头，开展本村村干部对《防返贫动态监测工作指南》的掌握程度抽查，确保今后按规范流程开展工作。</w:t>
            </w:r>
          </w:p>
        </w:tc>
        <w:tc>
          <w:tcPr>
            <w:tcW w:w="1509" w:type="dxa"/>
            <w:noWrap w:val="0"/>
            <w:vAlign w:val="center"/>
          </w:tcPr>
          <w:p w14:paraId="62B57A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40595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5" w:type="dxa"/>
            <w:vMerge w:val="continue"/>
            <w:noWrap w:val="0"/>
            <w:vAlign w:val="center"/>
          </w:tcPr>
          <w:p w14:paraId="1D28F8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1935" w:type="dxa"/>
            <w:vMerge w:val="continue"/>
            <w:noWrap w:val="0"/>
            <w:vAlign w:val="center"/>
          </w:tcPr>
          <w:p w14:paraId="05C4535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1860" w:type="dxa"/>
            <w:noWrap w:val="0"/>
            <w:vAlign w:val="center"/>
          </w:tcPr>
          <w:p w14:paraId="197E417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eastAsia="方正仿宋简体" w:cs="（使用中文字体）"/>
                <w:b w:val="0"/>
                <w:bCs w:val="0"/>
                <w:color w:val="auto"/>
                <w:spacing w:val="6"/>
                <w:sz w:val="21"/>
                <w:szCs w:val="21"/>
                <w:highlight w:val="none"/>
                <w:u w:val="none" w:color="auto"/>
                <w:vertAlign w:val="baseline"/>
                <w:lang w:val="en-US" w:eastAsia="zh-CN"/>
              </w:rPr>
            </w:pPr>
          </w:p>
          <w:p w14:paraId="0BE150B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eastAsia="方正仿宋简体" w:cs="（使用中文字体）"/>
                <w:b w:val="0"/>
                <w:bCs w:val="0"/>
                <w:color w:val="auto"/>
                <w:spacing w:val="6"/>
                <w:sz w:val="21"/>
                <w:szCs w:val="21"/>
                <w:highlight w:val="none"/>
                <w:u w:val="none" w:color="auto"/>
                <w:vertAlign w:val="baseline"/>
                <w:lang w:val="en-US" w:eastAsia="zh-CN"/>
              </w:rPr>
            </w:pPr>
          </w:p>
          <w:p w14:paraId="4410ADB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2.抓好抓实农村人居环境整治政治</w:t>
            </w:r>
          </w:p>
          <w:p w14:paraId="30CEED8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p>
          <w:p w14:paraId="7FEAEA6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eastAsia="方正仿宋简体" w:cs="（使用中文字体）"/>
                <w:b w:val="0"/>
                <w:bCs w:val="0"/>
                <w:color w:val="auto"/>
                <w:spacing w:val="6"/>
                <w:sz w:val="21"/>
                <w:szCs w:val="21"/>
                <w:highlight w:val="none"/>
                <w:u w:val="none" w:color="auto"/>
                <w:vertAlign w:val="baseline"/>
                <w:lang w:val="en-US" w:eastAsia="zh-CN"/>
              </w:rPr>
            </w:pPr>
          </w:p>
        </w:tc>
        <w:tc>
          <w:tcPr>
            <w:tcW w:w="6495" w:type="dxa"/>
            <w:noWrap w:val="0"/>
            <w:vAlign w:val="center"/>
          </w:tcPr>
          <w:p w14:paraId="497BC48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组织各小组对已损坏公厕进行修缮，并进行全覆盖自查；二是组建村级保洁队伍，明确岗位职责和薪酬保障，制定管理措施，定期对公厕进行保洁、维护；三是通过党员大会、群众会、“驻村小课堂”、入户宣传等方式，加大宣传力度，培养村民公共卫生意识和爱护习惯；四是村级每季度对辖区公厕开展一次检查，形成常态化监管合力。</w:t>
            </w:r>
          </w:p>
        </w:tc>
        <w:tc>
          <w:tcPr>
            <w:tcW w:w="1509" w:type="dxa"/>
            <w:noWrap w:val="0"/>
            <w:vAlign w:val="center"/>
          </w:tcPr>
          <w:p w14:paraId="2193A5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6F47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5" w:type="dxa"/>
            <w:vMerge w:val="continue"/>
            <w:noWrap w:val="0"/>
            <w:vAlign w:val="center"/>
          </w:tcPr>
          <w:p w14:paraId="517956A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1935" w:type="dxa"/>
            <w:vMerge w:val="continue"/>
            <w:noWrap w:val="0"/>
            <w:vAlign w:val="center"/>
          </w:tcPr>
          <w:p w14:paraId="2D10E6E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1860" w:type="dxa"/>
            <w:noWrap w:val="0"/>
            <w:vAlign w:val="center"/>
          </w:tcPr>
          <w:p w14:paraId="03202BC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rPr>
              <w:t>3</w:t>
            </w:r>
            <w:r>
              <w:rPr>
                <w:rFonts w:hint="eastAsia" w:eastAsia="方正仿宋简体" w:cs="（使用中文字体）"/>
                <w:b w:val="0"/>
                <w:bCs w:val="0"/>
                <w:color w:val="auto"/>
                <w:spacing w:val="6"/>
                <w:sz w:val="21"/>
                <w:szCs w:val="21"/>
                <w:highlight w:val="none"/>
                <w:u w:val="none" w:color="auto"/>
                <w:vertAlign w:val="baseline"/>
                <w:lang w:val="en-US" w:eastAsia="zh-CN"/>
              </w:rPr>
              <w:t>.完善全村规民约规则僵化，操作性不强，部分内容不符合等整改</w:t>
            </w:r>
          </w:p>
        </w:tc>
        <w:tc>
          <w:tcPr>
            <w:tcW w:w="6495" w:type="dxa"/>
            <w:noWrap w:val="0"/>
            <w:vAlign w:val="center"/>
          </w:tcPr>
          <w:p w14:paraId="5A584D5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一是以村“两委”换届工作为契机，组织对村规民约进行修改完善，并邀请乡级相关部门进行指导；二是规范程序，村民民约修改后，报乡级审核。</w:t>
            </w:r>
          </w:p>
        </w:tc>
        <w:tc>
          <w:tcPr>
            <w:tcW w:w="1509" w:type="dxa"/>
            <w:noWrap w:val="0"/>
            <w:vAlign w:val="center"/>
          </w:tcPr>
          <w:p w14:paraId="3DB1082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36FC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5" w:type="dxa"/>
            <w:vMerge w:val="continue"/>
            <w:noWrap w:val="0"/>
            <w:vAlign w:val="center"/>
          </w:tcPr>
          <w:p w14:paraId="781F641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1935" w:type="dxa"/>
            <w:vMerge w:val="continue"/>
            <w:noWrap w:val="0"/>
            <w:vAlign w:val="center"/>
          </w:tcPr>
          <w:p w14:paraId="5242477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1860" w:type="dxa"/>
            <w:noWrap w:val="0"/>
            <w:vAlign w:val="center"/>
          </w:tcPr>
          <w:p w14:paraId="2C372D3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eastAsia" w:eastAsia="方正仿宋简体" w:cs="（使用中文字体）"/>
                <w:b w:val="0"/>
                <w:bCs w:val="0"/>
                <w:color w:val="auto"/>
                <w:spacing w:val="6"/>
                <w:sz w:val="21"/>
                <w:szCs w:val="21"/>
                <w:highlight w:val="none"/>
                <w:u w:val="none" w:color="auto"/>
                <w:vertAlign w:val="baseline"/>
                <w:lang w:val="en-US" w:eastAsia="zh-CN"/>
              </w:rPr>
              <w:t>4.抓实控辍保学工作</w:t>
            </w:r>
          </w:p>
        </w:tc>
        <w:tc>
          <w:tcPr>
            <w:tcW w:w="6495" w:type="dxa"/>
            <w:noWrap w:val="0"/>
            <w:vAlign w:val="center"/>
          </w:tcPr>
          <w:p w14:paraId="117039C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eastAsia" w:ascii="Times New Roman" w:hAnsi="Times New Roman" w:eastAsia="方正仿宋简体" w:cs="（使用中文字体）"/>
                <w:b w:val="0"/>
                <w:bCs w:val="0"/>
                <w:color w:val="auto"/>
                <w:spacing w:val="6"/>
                <w:sz w:val="21"/>
                <w:szCs w:val="21"/>
                <w:highlight w:val="none"/>
                <w:u w:val="none" w:color="auto"/>
                <w:vertAlign w:val="baseline"/>
              </w:rPr>
              <w:t>一是依法控辍，强化责任落实。依法督促学生父母或其他法定监护人送子女入学，并指导村委会摸清辖区内子女入学就读情况。同时，建立“四级包保”责任制暨一名重点学生落实1名乡级、1名村级、1名组级、1名驻村工作队员包保责任人，确保控辍保学工作落实到位。二是加强宣传引导，营造控辍氛围，通过多种渠道广泛宣传《中华人民共和国义务教育法》和《中华人民共和国未成年人保护法》，提高家长和学生的法律意识。利用家访、家长会、校园广播、主题班会等形式，普及义务教育知识，使教育法规和政策家喻户晓，从源头上遏制辍学现象的发生。三是分类管理、分类施策。针对困难学生和有辍学苗头的学生，采取“结对帮扶”等方式，提供心理疏导、学习辅导和生活帮助，确保学生安心上学。</w:t>
            </w:r>
          </w:p>
        </w:tc>
        <w:tc>
          <w:tcPr>
            <w:tcW w:w="1509" w:type="dxa"/>
            <w:noWrap w:val="0"/>
            <w:vAlign w:val="center"/>
          </w:tcPr>
          <w:p w14:paraId="483FE4C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5436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5" w:type="dxa"/>
            <w:vMerge w:val="restart"/>
            <w:noWrap w:val="0"/>
            <w:vAlign w:val="center"/>
          </w:tcPr>
          <w:p w14:paraId="15FEB9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4</w:t>
            </w:r>
          </w:p>
        </w:tc>
        <w:tc>
          <w:tcPr>
            <w:tcW w:w="1935" w:type="dxa"/>
            <w:vMerge w:val="restart"/>
            <w:noWrap w:val="0"/>
            <w:vAlign w:val="center"/>
          </w:tcPr>
          <w:p w14:paraId="0CA22EF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eastAsia="方正仿宋简体" w:cs="（使用中文字体）"/>
                <w:b w:val="0"/>
                <w:bCs w:val="0"/>
                <w:color w:val="auto"/>
                <w:spacing w:val="6"/>
                <w:sz w:val="21"/>
                <w:szCs w:val="21"/>
                <w:highlight w:val="none"/>
                <w:u w:val="none" w:color="auto"/>
                <w:vertAlign w:val="baseline"/>
                <w:lang w:eastAsia="zh-CN"/>
              </w:rPr>
              <w:t>四、关于检查防范化解重大风险，维护社会大局和谐稳定方面</w:t>
            </w:r>
            <w:r>
              <w:rPr>
                <w:rFonts w:hint="eastAsia" w:ascii="Times New Roman" w:hAnsi="Times New Roman" w:eastAsia="方正仿宋简体" w:cs="方正仿宋简体"/>
                <w:b w:val="0"/>
                <w:bCs w:val="0"/>
                <w:color w:val="auto"/>
                <w:spacing w:val="6"/>
                <w:sz w:val="21"/>
                <w:szCs w:val="21"/>
                <w:highlight w:val="none"/>
                <w:u w:val="none" w:color="auto"/>
                <w:vertAlign w:val="baseline"/>
                <w:lang w:eastAsia="zh-CN"/>
              </w:rPr>
              <w:t>的整改进展情况</w:t>
            </w:r>
          </w:p>
        </w:tc>
        <w:tc>
          <w:tcPr>
            <w:tcW w:w="1860" w:type="dxa"/>
            <w:vMerge w:val="restart"/>
            <w:noWrap w:val="0"/>
            <w:vAlign w:val="center"/>
          </w:tcPr>
          <w:p w14:paraId="4A3CD05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1.强化思想认识，提高对意识形态工作极端重要性认识。</w:t>
            </w:r>
          </w:p>
        </w:tc>
        <w:tc>
          <w:tcPr>
            <w:tcW w:w="6495" w:type="dxa"/>
            <w:noWrap w:val="0"/>
            <w:vAlign w:val="center"/>
          </w:tcPr>
          <w:p w14:paraId="37B6679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eastAsia" w:eastAsia="方正仿宋简体" w:cs="（使用中文字体）"/>
                <w:b w:val="0"/>
                <w:bCs w:val="0"/>
                <w:color w:val="auto"/>
                <w:spacing w:val="6"/>
                <w:sz w:val="21"/>
                <w:szCs w:val="21"/>
                <w:highlight w:val="none"/>
                <w:u w:val="none" w:color="auto"/>
                <w:vertAlign w:val="baseline"/>
                <w:lang w:eastAsia="zh-CN"/>
              </w:rPr>
              <w:t>安排专人对宣传栏进行整改，将党的二十大精神等内容纳入到宣传栏中，并按要求及时更新相关内容。</w:t>
            </w:r>
          </w:p>
        </w:tc>
        <w:tc>
          <w:tcPr>
            <w:tcW w:w="1509" w:type="dxa"/>
            <w:noWrap w:val="0"/>
            <w:vAlign w:val="center"/>
          </w:tcPr>
          <w:p w14:paraId="55E5270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7A5AF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5" w:type="dxa"/>
            <w:vMerge w:val="continue"/>
            <w:noWrap w:val="0"/>
            <w:vAlign w:val="center"/>
          </w:tcPr>
          <w:p w14:paraId="254A812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1935" w:type="dxa"/>
            <w:vMerge w:val="continue"/>
            <w:noWrap w:val="0"/>
            <w:vAlign w:val="center"/>
          </w:tcPr>
          <w:p w14:paraId="6D2A2E0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1860" w:type="dxa"/>
            <w:vMerge w:val="continue"/>
            <w:noWrap w:val="0"/>
            <w:vAlign w:val="center"/>
          </w:tcPr>
          <w:p w14:paraId="2257B77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lang w:val="en-US" w:eastAsia="zh-CN"/>
              </w:rPr>
            </w:pPr>
          </w:p>
        </w:tc>
        <w:tc>
          <w:tcPr>
            <w:tcW w:w="6495" w:type="dxa"/>
            <w:noWrap w:val="0"/>
            <w:vAlign w:val="center"/>
          </w:tcPr>
          <w:p w14:paraId="5AFC3BB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一是将意识形态工作纳入村“两委”重要议事日程，定期研究部署相关工作；二是引导村干部树立“时时放心不下”的责任意识，</w:t>
            </w:r>
            <w:r>
              <w:rPr>
                <w:rFonts w:hint="eastAsia" w:eastAsia="方正仿宋简体" w:cs="（使用中文字体）"/>
                <w:b w:val="0"/>
                <w:bCs w:val="0"/>
                <w:color w:val="auto"/>
                <w:spacing w:val="6"/>
                <w:sz w:val="21"/>
                <w:szCs w:val="21"/>
                <w:highlight w:val="none"/>
                <w:u w:val="none" w:color="auto"/>
                <w:vertAlign w:val="baseline"/>
                <w:lang w:eastAsia="zh-CN"/>
              </w:rPr>
              <w:t>安排专人就</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脱贫攻坚标语清理不彻底</w:t>
            </w:r>
            <w:r>
              <w:rPr>
                <w:rFonts w:hint="eastAsia" w:eastAsia="方正仿宋简体" w:cs="（使用中文字体）"/>
                <w:b w:val="0"/>
                <w:bCs w:val="0"/>
                <w:color w:val="auto"/>
                <w:spacing w:val="6"/>
                <w:sz w:val="21"/>
                <w:szCs w:val="21"/>
                <w:highlight w:val="none"/>
                <w:u w:val="none" w:color="auto"/>
                <w:vertAlign w:val="baseline"/>
                <w:lang w:eastAsia="zh-CN"/>
              </w:rPr>
              <w:t>问题进行了清理</w:t>
            </w:r>
            <w:r>
              <w:rPr>
                <w:rFonts w:hint="default" w:ascii="Times New Roman" w:hAnsi="Times New Roman" w:eastAsia="方正仿宋简体" w:cs="（使用中文字体）"/>
                <w:b w:val="0"/>
                <w:bCs w:val="0"/>
                <w:color w:val="auto"/>
                <w:spacing w:val="6"/>
                <w:sz w:val="21"/>
                <w:szCs w:val="21"/>
                <w:highlight w:val="none"/>
                <w:u w:val="none" w:color="auto"/>
                <w:vertAlign w:val="baseline"/>
              </w:rPr>
              <w:t>。</w:t>
            </w:r>
          </w:p>
        </w:tc>
        <w:tc>
          <w:tcPr>
            <w:tcW w:w="1509" w:type="dxa"/>
            <w:noWrap w:val="0"/>
            <w:vAlign w:val="center"/>
          </w:tcPr>
          <w:p w14:paraId="25789CE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3D47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5" w:type="dxa"/>
            <w:vMerge w:val="continue"/>
            <w:noWrap w:val="0"/>
            <w:vAlign w:val="center"/>
          </w:tcPr>
          <w:p w14:paraId="7198D8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1935" w:type="dxa"/>
            <w:vMerge w:val="continue"/>
            <w:noWrap w:val="0"/>
            <w:vAlign w:val="center"/>
          </w:tcPr>
          <w:p w14:paraId="5DD60F8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1860" w:type="dxa"/>
            <w:vMerge w:val="restart"/>
            <w:noWrap w:val="0"/>
            <w:vAlign w:val="center"/>
          </w:tcPr>
          <w:p w14:paraId="3A7B983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2.强化意识形态阵地管理。</w:t>
            </w:r>
          </w:p>
        </w:tc>
        <w:tc>
          <w:tcPr>
            <w:tcW w:w="6495" w:type="dxa"/>
            <w:noWrap w:val="0"/>
            <w:vAlign w:val="center"/>
          </w:tcPr>
          <w:p w14:paraId="4CC20B0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eastAsia="方正仿宋简体" w:cs="（使用中文字体）"/>
                <w:b w:val="0"/>
                <w:bCs w:val="0"/>
                <w:color w:val="auto"/>
                <w:spacing w:val="6"/>
                <w:sz w:val="21"/>
                <w:szCs w:val="21"/>
                <w:highlight w:val="none"/>
                <w:u w:val="none" w:color="auto"/>
                <w:vertAlign w:val="baseline"/>
                <w:lang w:eastAsia="zh-CN"/>
              </w:rPr>
              <w:t>一是</w:t>
            </w:r>
            <w:r>
              <w:rPr>
                <w:rFonts w:hint="default" w:ascii="Times New Roman" w:hAnsi="Times New Roman" w:eastAsia="方正仿宋简体" w:cs="（使用中文字体）"/>
                <w:b w:val="0"/>
                <w:bCs w:val="0"/>
                <w:color w:val="auto"/>
                <w:spacing w:val="6"/>
                <w:sz w:val="21"/>
                <w:szCs w:val="21"/>
                <w:highlight w:val="none"/>
                <w:u w:val="none" w:color="auto"/>
                <w:vertAlign w:val="baseline"/>
              </w:rPr>
              <w:t>对村级应急广播终端机房进行全面清理整治，明确专人负责定期对机房设备、环境进行巡查，规范物品摆放，进行清扫和保洁。</w:t>
            </w:r>
            <w:r>
              <w:rPr>
                <w:rFonts w:hint="eastAsia" w:eastAsia="方正仿宋简体" w:cs="（使用中文字体）"/>
                <w:b w:val="0"/>
                <w:bCs w:val="0"/>
                <w:color w:val="auto"/>
                <w:spacing w:val="6"/>
                <w:sz w:val="21"/>
                <w:szCs w:val="21"/>
                <w:highlight w:val="none"/>
                <w:u w:val="none" w:color="auto"/>
                <w:vertAlign w:val="baseline"/>
                <w:lang w:val="en-US" w:eastAsia="zh-CN"/>
              </w:rPr>
              <w:t>本</w:t>
            </w:r>
            <w:r>
              <w:rPr>
                <w:rFonts w:hint="default" w:ascii="Times New Roman" w:hAnsi="Times New Roman" w:eastAsia="方正仿宋简体" w:cs="（使用中文字体）"/>
                <w:b w:val="0"/>
                <w:bCs w:val="0"/>
                <w:color w:val="auto"/>
                <w:spacing w:val="6"/>
                <w:sz w:val="21"/>
                <w:szCs w:val="21"/>
                <w:highlight w:val="none"/>
                <w:u w:val="none" w:color="auto"/>
                <w:vertAlign w:val="baseline"/>
              </w:rPr>
              <w:t>村已按照要求设立独立机房，明确专人管理</w:t>
            </w:r>
            <w:r>
              <w:rPr>
                <w:rFonts w:hint="eastAsia" w:eastAsia="方正仿宋简体" w:cs="（使用中文字体）"/>
                <w:b w:val="0"/>
                <w:bCs w:val="0"/>
                <w:color w:val="auto"/>
                <w:spacing w:val="6"/>
                <w:sz w:val="21"/>
                <w:szCs w:val="21"/>
                <w:highlight w:val="none"/>
                <w:u w:val="none" w:color="auto"/>
                <w:vertAlign w:val="baseline"/>
                <w:lang w:eastAsia="zh-CN"/>
              </w:rPr>
              <w:t>；</w:t>
            </w:r>
          </w:p>
          <w:p w14:paraId="70F625B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1509" w:type="dxa"/>
            <w:noWrap w:val="0"/>
            <w:vAlign w:val="center"/>
          </w:tcPr>
          <w:p w14:paraId="1CDAF2F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5F196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5" w:type="dxa"/>
            <w:vMerge w:val="continue"/>
            <w:noWrap w:val="0"/>
            <w:vAlign w:val="center"/>
          </w:tcPr>
          <w:p w14:paraId="48A63D3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1935" w:type="dxa"/>
            <w:vMerge w:val="continue"/>
            <w:noWrap w:val="0"/>
            <w:vAlign w:val="center"/>
          </w:tcPr>
          <w:p w14:paraId="0BBB7F2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1860" w:type="dxa"/>
            <w:vMerge w:val="continue"/>
            <w:noWrap w:val="0"/>
            <w:vAlign w:val="center"/>
          </w:tcPr>
          <w:p w14:paraId="1C5291D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6495" w:type="dxa"/>
            <w:noWrap w:val="0"/>
            <w:vAlign w:val="center"/>
          </w:tcPr>
          <w:p w14:paraId="4EADE10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eastAsia" w:eastAsia="方正仿宋简体" w:cs="（使用中文字体）"/>
                <w:b w:val="0"/>
                <w:bCs w:val="0"/>
                <w:color w:val="auto"/>
                <w:spacing w:val="6"/>
                <w:sz w:val="21"/>
                <w:szCs w:val="21"/>
                <w:highlight w:val="none"/>
                <w:u w:val="none" w:color="auto"/>
                <w:vertAlign w:val="baseline"/>
                <w:lang w:eastAsia="zh-CN"/>
              </w:rPr>
              <w:t>二</w:t>
            </w:r>
            <w:r>
              <w:rPr>
                <w:rFonts w:hint="default" w:ascii="Times New Roman" w:hAnsi="Times New Roman" w:eastAsia="方正仿宋简体" w:cs="（使用中文字体）"/>
                <w:b w:val="0"/>
                <w:bCs w:val="0"/>
                <w:color w:val="auto"/>
                <w:spacing w:val="6"/>
                <w:sz w:val="21"/>
                <w:szCs w:val="21"/>
                <w:highlight w:val="none"/>
                <w:u w:val="none" w:color="auto"/>
                <w:vertAlign w:val="baseline"/>
              </w:rPr>
              <w:t>是立即对村委会损坏的旗杆进行维修或更换，确保功能完好；</w:t>
            </w:r>
            <w:r>
              <w:rPr>
                <w:rFonts w:hint="eastAsia" w:eastAsia="方正仿宋简体" w:cs="（使用中文字体）"/>
                <w:b w:val="0"/>
                <w:bCs w:val="0"/>
                <w:color w:val="auto"/>
                <w:spacing w:val="6"/>
                <w:sz w:val="21"/>
                <w:szCs w:val="21"/>
                <w:highlight w:val="none"/>
                <w:u w:val="none" w:color="auto"/>
                <w:vertAlign w:val="baseline"/>
                <w:lang w:eastAsia="zh-CN"/>
              </w:rPr>
              <w:t>三</w:t>
            </w:r>
            <w:r>
              <w:rPr>
                <w:rFonts w:hint="default" w:ascii="Times New Roman" w:hAnsi="Times New Roman" w:eastAsia="方正仿宋简体" w:cs="（使用中文字体）"/>
                <w:b w:val="0"/>
                <w:bCs w:val="0"/>
                <w:color w:val="auto"/>
                <w:spacing w:val="6"/>
                <w:sz w:val="21"/>
                <w:szCs w:val="21"/>
                <w:highlight w:val="none"/>
                <w:u w:val="none" w:color="auto"/>
                <w:vertAlign w:val="baseline"/>
              </w:rPr>
              <w:t>是活动场地破损、褪色的国旗予以更换；</w:t>
            </w:r>
            <w:r>
              <w:rPr>
                <w:rFonts w:hint="eastAsia" w:eastAsia="方正仿宋简体" w:cs="（使用中文字体）"/>
                <w:b w:val="0"/>
                <w:bCs w:val="0"/>
                <w:color w:val="auto"/>
                <w:spacing w:val="6"/>
                <w:sz w:val="21"/>
                <w:szCs w:val="21"/>
                <w:highlight w:val="none"/>
                <w:u w:val="none" w:color="auto"/>
                <w:vertAlign w:val="baseline"/>
                <w:lang w:eastAsia="zh-CN"/>
              </w:rPr>
              <w:t>四</w:t>
            </w:r>
            <w:r>
              <w:rPr>
                <w:rFonts w:hint="default" w:ascii="Times New Roman" w:hAnsi="Times New Roman" w:eastAsia="方正仿宋简体" w:cs="（使用中文字体）"/>
                <w:b w:val="0"/>
                <w:bCs w:val="0"/>
                <w:color w:val="auto"/>
                <w:spacing w:val="6"/>
                <w:sz w:val="21"/>
                <w:szCs w:val="21"/>
                <w:highlight w:val="none"/>
                <w:u w:val="none" w:color="auto"/>
                <w:vertAlign w:val="baseline"/>
              </w:rPr>
              <w:t>是严格按照《中华人民共和国国旗法》规定，使用符合标准的国旗，确保国旗干净、完整、鲜艳。</w:t>
            </w:r>
          </w:p>
        </w:tc>
        <w:tc>
          <w:tcPr>
            <w:tcW w:w="1509" w:type="dxa"/>
            <w:noWrap w:val="0"/>
            <w:vAlign w:val="center"/>
          </w:tcPr>
          <w:p w14:paraId="2C0D687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2E2F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5" w:type="dxa"/>
            <w:noWrap w:val="0"/>
            <w:vAlign w:val="center"/>
          </w:tcPr>
          <w:p w14:paraId="370151B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5</w:t>
            </w:r>
          </w:p>
        </w:tc>
        <w:tc>
          <w:tcPr>
            <w:tcW w:w="1935" w:type="dxa"/>
            <w:noWrap w:val="0"/>
            <w:vAlign w:val="center"/>
          </w:tcPr>
          <w:p w14:paraId="21635AE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eastAsia="方正仿宋简体" w:cs="（使用中文字体）"/>
                <w:b w:val="0"/>
                <w:bCs w:val="0"/>
                <w:color w:val="auto"/>
                <w:spacing w:val="6"/>
                <w:sz w:val="21"/>
                <w:szCs w:val="21"/>
                <w:highlight w:val="none"/>
                <w:u w:val="none" w:color="auto"/>
                <w:vertAlign w:val="baseline"/>
                <w:lang w:eastAsia="zh-CN"/>
              </w:rPr>
              <w:t>五、关于检查落实全面从严治党责任、推进党风廉政建设和反腐败斗争方面</w:t>
            </w:r>
            <w:r>
              <w:rPr>
                <w:rFonts w:hint="eastAsia" w:ascii="Times New Roman" w:hAnsi="Times New Roman" w:eastAsia="方正仿宋简体" w:cs="方正仿宋简体"/>
                <w:b w:val="0"/>
                <w:bCs w:val="0"/>
                <w:color w:val="auto"/>
                <w:spacing w:val="6"/>
                <w:sz w:val="21"/>
                <w:szCs w:val="21"/>
                <w:highlight w:val="none"/>
                <w:u w:val="none" w:color="auto"/>
                <w:vertAlign w:val="baseline"/>
                <w:lang w:eastAsia="zh-CN"/>
              </w:rPr>
              <w:t>的整改进展情况</w:t>
            </w:r>
          </w:p>
        </w:tc>
        <w:tc>
          <w:tcPr>
            <w:tcW w:w="1860" w:type="dxa"/>
            <w:noWrap w:val="0"/>
            <w:vAlign w:val="center"/>
          </w:tcPr>
          <w:p w14:paraId="794302E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1.不断规范公章管理使用。</w:t>
            </w:r>
          </w:p>
        </w:tc>
        <w:tc>
          <w:tcPr>
            <w:tcW w:w="6495" w:type="dxa"/>
            <w:noWrap w:val="0"/>
            <w:vAlign w:val="center"/>
          </w:tcPr>
          <w:p w14:paraId="7247E12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eastAsia" w:eastAsia="方正仿宋简体" w:cs="（使用中文字体）"/>
                <w:b w:val="0"/>
                <w:bCs w:val="0"/>
                <w:color w:val="auto"/>
                <w:spacing w:val="6"/>
                <w:sz w:val="21"/>
                <w:szCs w:val="21"/>
                <w:highlight w:val="none"/>
                <w:u w:val="none" w:color="auto"/>
                <w:vertAlign w:val="baseline"/>
                <w:lang w:eastAsia="zh-CN"/>
              </w:rPr>
              <w:t>召开“专题”会议，建立</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印章管理制度，</w:t>
            </w:r>
            <w:r>
              <w:rPr>
                <w:rFonts w:hint="eastAsia" w:eastAsia="方正仿宋简体" w:cs="（使用中文字体）"/>
                <w:b w:val="0"/>
                <w:bCs w:val="0"/>
                <w:color w:val="auto"/>
                <w:spacing w:val="6"/>
                <w:sz w:val="21"/>
                <w:szCs w:val="21"/>
                <w:highlight w:val="none"/>
                <w:u w:val="none" w:color="auto"/>
                <w:vertAlign w:val="baseline"/>
                <w:lang w:eastAsia="zh-CN"/>
              </w:rPr>
              <w:t>明确专人管理印章，并就使用情况进行登记，完善相关台账资料</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w:t>
            </w:r>
          </w:p>
        </w:tc>
        <w:tc>
          <w:tcPr>
            <w:tcW w:w="1509" w:type="dxa"/>
            <w:noWrap w:val="0"/>
            <w:vAlign w:val="center"/>
          </w:tcPr>
          <w:p w14:paraId="035D570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03A7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5" w:type="dxa"/>
            <w:vMerge w:val="restart"/>
            <w:noWrap w:val="0"/>
            <w:vAlign w:val="center"/>
          </w:tcPr>
          <w:p w14:paraId="4FCADA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6</w:t>
            </w:r>
          </w:p>
        </w:tc>
        <w:tc>
          <w:tcPr>
            <w:tcW w:w="1935" w:type="dxa"/>
            <w:vMerge w:val="restart"/>
            <w:noWrap w:val="0"/>
            <w:vAlign w:val="center"/>
          </w:tcPr>
          <w:p w14:paraId="70351D1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eastAsia="方正仿宋简体" w:cs="（使用中文字体）"/>
                <w:b w:val="0"/>
                <w:bCs w:val="0"/>
                <w:color w:val="auto"/>
                <w:spacing w:val="6"/>
                <w:sz w:val="21"/>
                <w:szCs w:val="21"/>
                <w:highlight w:val="none"/>
                <w:u w:val="none" w:color="auto"/>
                <w:vertAlign w:val="baseline"/>
                <w:lang w:eastAsia="zh-CN"/>
              </w:rPr>
              <w:t>六、关于检查加强廉洁风险防控，落实中央八项规定精神方面</w:t>
            </w:r>
            <w:r>
              <w:rPr>
                <w:rFonts w:hint="eastAsia" w:ascii="Times New Roman" w:hAnsi="Times New Roman" w:eastAsia="方正仿宋简体" w:cs="方正仿宋简体"/>
                <w:b w:val="0"/>
                <w:bCs w:val="0"/>
                <w:color w:val="auto"/>
                <w:spacing w:val="6"/>
                <w:sz w:val="21"/>
                <w:szCs w:val="21"/>
                <w:highlight w:val="none"/>
                <w:u w:val="none" w:color="auto"/>
                <w:vertAlign w:val="baseline"/>
                <w:lang w:eastAsia="zh-CN"/>
              </w:rPr>
              <w:t>的整改进展情况</w:t>
            </w:r>
          </w:p>
        </w:tc>
        <w:tc>
          <w:tcPr>
            <w:tcW w:w="1860" w:type="dxa"/>
            <w:vMerge w:val="restart"/>
            <w:noWrap w:val="0"/>
            <w:vAlign w:val="center"/>
          </w:tcPr>
          <w:p w14:paraId="7B688E9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1.加强扶持项目监管和利益联结机制落实。</w:t>
            </w:r>
          </w:p>
        </w:tc>
        <w:tc>
          <w:tcPr>
            <w:tcW w:w="6495" w:type="dxa"/>
            <w:noWrap w:val="0"/>
            <w:vAlign w:val="center"/>
          </w:tcPr>
          <w:p w14:paraId="5A35B22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由村“两委”负责全面清查资金入股及分红情况，核实资金流向和相关合同协议的真实性、完整性；二是与涉及企业进行深入沟通协商，明确要求其尽快支付收益，并限定支付期限。同时，密切跟踪企业支付进度，若逾期未支付，通过法律途径维护村集体权益；三是完善村集体资金管理制度，加强对类似项目资金的监管力度，建立健全资金使用审批流程和风险防控机制，确保今后不再出现类似资金管理漏洞和分红未及时兑付的情况。</w:t>
            </w:r>
          </w:p>
        </w:tc>
        <w:tc>
          <w:tcPr>
            <w:tcW w:w="1509" w:type="dxa"/>
            <w:vMerge w:val="restart"/>
            <w:noWrap w:val="0"/>
            <w:vAlign w:val="center"/>
          </w:tcPr>
          <w:p w14:paraId="370B72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78DA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5" w:type="dxa"/>
            <w:vMerge w:val="continue"/>
            <w:noWrap w:val="0"/>
            <w:vAlign w:val="center"/>
          </w:tcPr>
          <w:p w14:paraId="325222D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1935" w:type="dxa"/>
            <w:vMerge w:val="continue"/>
            <w:noWrap w:val="0"/>
            <w:vAlign w:val="center"/>
          </w:tcPr>
          <w:p w14:paraId="44BCE71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1860" w:type="dxa"/>
            <w:vMerge w:val="continue"/>
            <w:noWrap w:val="0"/>
            <w:vAlign w:val="center"/>
          </w:tcPr>
          <w:p w14:paraId="593003B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6495" w:type="dxa"/>
            <w:noWrap w:val="0"/>
            <w:vAlign w:val="center"/>
          </w:tcPr>
          <w:p w14:paraId="4B33E98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由村“两委”负责全面清查资金入股及分红情况，核实资金流向和相关合同协议的真实性、完整性；二是与涉及企业进行深入沟通协商，明确要求其尽快支付收益，并限定支付期限。同时，密切跟踪企业支付进度，若逾期未支付，通过法律途径维护村集体权益；三是完善村集体资金管理制度，加强对类似项目资金的监管力度，建立健全资金使用审批流程和风险防控机制，确保今后不再出现类似资金管理漏洞和分红未及时兑付的情况。</w:t>
            </w:r>
          </w:p>
        </w:tc>
        <w:tc>
          <w:tcPr>
            <w:tcW w:w="1509" w:type="dxa"/>
            <w:vMerge w:val="continue"/>
            <w:noWrap w:val="0"/>
            <w:vAlign w:val="center"/>
          </w:tcPr>
          <w:p w14:paraId="71B162E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0CC5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5" w:type="dxa"/>
            <w:vMerge w:val="continue"/>
            <w:noWrap w:val="0"/>
            <w:vAlign w:val="center"/>
          </w:tcPr>
          <w:p w14:paraId="7F8F0DB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1935" w:type="dxa"/>
            <w:vMerge w:val="continue"/>
            <w:noWrap w:val="0"/>
            <w:vAlign w:val="center"/>
          </w:tcPr>
          <w:p w14:paraId="118CC63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1860" w:type="dxa"/>
            <w:noWrap w:val="0"/>
            <w:vAlign w:val="center"/>
          </w:tcPr>
          <w:p w14:paraId="2A87A22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t>2.</w:t>
            </w:r>
            <w:r>
              <w:rPr>
                <w:rFonts w:hint="eastAsia" w:eastAsia="方正仿宋简体" w:cs="（使用中文字体）"/>
                <w:b w:val="0"/>
                <w:bCs w:val="0"/>
                <w:color w:val="auto"/>
                <w:spacing w:val="6"/>
                <w:sz w:val="21"/>
                <w:szCs w:val="21"/>
                <w:highlight w:val="none"/>
                <w:u w:val="none" w:color="auto"/>
                <w:vertAlign w:val="baseline"/>
                <w:lang w:val="en-US" w:eastAsia="zh-CN"/>
              </w:rPr>
              <w:t>规范</w:t>
            </w:r>
            <w:r>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t>资金支出审批</w:t>
            </w:r>
            <w:r>
              <w:rPr>
                <w:rFonts w:hint="eastAsia" w:eastAsia="方正仿宋简体" w:cs="（使用中文字体）"/>
                <w:b w:val="0"/>
                <w:bCs w:val="0"/>
                <w:color w:val="auto"/>
                <w:spacing w:val="6"/>
                <w:sz w:val="21"/>
                <w:szCs w:val="21"/>
                <w:highlight w:val="none"/>
                <w:u w:val="none" w:color="auto"/>
                <w:vertAlign w:val="baseline"/>
                <w:lang w:val="en-US" w:eastAsia="zh-CN"/>
              </w:rPr>
              <w:t>相关程序</w:t>
            </w:r>
            <w:r>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p>
        </w:tc>
        <w:tc>
          <w:tcPr>
            <w:tcW w:w="6495" w:type="dxa"/>
            <w:noWrap w:val="0"/>
            <w:vAlign w:val="center"/>
          </w:tcPr>
          <w:p w14:paraId="3ADDC0F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一是主动对接乡会计委托中心业务人员，补齐账实不符的相关佐证资料，针对图片与名册不一致问题重新核实底数，按程序召开村民代表大会，完善会议资料后上报乡党委，修正报账材料。</w:t>
            </w:r>
          </w:p>
          <w:p w14:paraId="386BBD1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二是压实村务监督委员会工作职责，健全事前审核机制，强化村级财务日常监管。</w:t>
            </w:r>
          </w:p>
        </w:tc>
        <w:tc>
          <w:tcPr>
            <w:tcW w:w="1509" w:type="dxa"/>
            <w:noWrap w:val="0"/>
            <w:vAlign w:val="center"/>
          </w:tcPr>
          <w:p w14:paraId="0281623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2C34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5" w:type="dxa"/>
            <w:vMerge w:val="continue"/>
            <w:noWrap w:val="0"/>
            <w:vAlign w:val="center"/>
          </w:tcPr>
          <w:p w14:paraId="250E79F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1935" w:type="dxa"/>
            <w:vMerge w:val="continue"/>
            <w:noWrap w:val="0"/>
            <w:vAlign w:val="center"/>
          </w:tcPr>
          <w:p w14:paraId="7AFD6C5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1860" w:type="dxa"/>
            <w:noWrap w:val="0"/>
            <w:vAlign w:val="center"/>
          </w:tcPr>
          <w:p w14:paraId="089B44C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t>3.落实</w:t>
            </w:r>
            <w:r>
              <w:rPr>
                <w:rFonts w:hint="eastAsia" w:eastAsia="方正仿宋简体" w:cs="（使用中文字体）"/>
                <w:b w:val="0"/>
                <w:bCs w:val="0"/>
                <w:color w:val="auto"/>
                <w:spacing w:val="6"/>
                <w:sz w:val="21"/>
                <w:szCs w:val="21"/>
                <w:highlight w:val="none"/>
                <w:u w:val="none" w:color="auto"/>
                <w:vertAlign w:val="baseline"/>
                <w:lang w:val="en-US" w:eastAsia="zh-CN"/>
              </w:rPr>
              <w:t>好</w:t>
            </w:r>
            <w:r>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t>上级决策部署，</w:t>
            </w:r>
            <w:r>
              <w:rPr>
                <w:rFonts w:hint="eastAsia" w:eastAsia="方正仿宋简体" w:cs="（使用中文字体）"/>
                <w:b w:val="0"/>
                <w:bCs w:val="0"/>
                <w:color w:val="auto"/>
                <w:spacing w:val="6"/>
                <w:sz w:val="21"/>
                <w:szCs w:val="21"/>
                <w:highlight w:val="none"/>
                <w:u w:val="none" w:color="auto"/>
                <w:vertAlign w:val="baseline"/>
                <w:lang w:val="en-US" w:eastAsia="zh-CN"/>
              </w:rPr>
              <w:t>抓好</w:t>
            </w:r>
            <w:r>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t>农村供水工程水费收缴管理。</w:t>
            </w:r>
          </w:p>
        </w:tc>
        <w:tc>
          <w:tcPr>
            <w:tcW w:w="6495" w:type="dxa"/>
            <w:noWrap w:val="0"/>
            <w:vAlign w:val="center"/>
          </w:tcPr>
          <w:p w14:paraId="5B569EF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定期对各小组水费收缴情况进行检查，重点核查是否按标准收费、资金是否专款专用、农户诉求是否妥善处理等，对发现的问题限期整改；二是严格执行水费入账制度，全面排查各用水小组水费收缴情况，与乡镇财政所对接，将各村民小组现存水费资金全额上缴至“村代管”专用账户，终止小组自行管理模式，确保每笔水费收支都纳入“村代管”监管体系，杜绝坐收坐支。三是全面规范水费管理机制，建立“收缴-公示-使用”全流程管理制度，各小组指定1名水费收缴员，将收缴清单报村委会，村委会在村公示栏及各小组公告点同步公示，确保水费管理公开透明、合规高效。</w:t>
            </w:r>
          </w:p>
        </w:tc>
        <w:tc>
          <w:tcPr>
            <w:tcW w:w="1509" w:type="dxa"/>
            <w:noWrap w:val="0"/>
            <w:vAlign w:val="center"/>
          </w:tcPr>
          <w:p w14:paraId="19A0315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4844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985" w:type="dxa"/>
            <w:vMerge w:val="restart"/>
            <w:noWrap w:val="0"/>
            <w:vAlign w:val="center"/>
          </w:tcPr>
          <w:p w14:paraId="412C82C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7</w:t>
            </w:r>
          </w:p>
        </w:tc>
        <w:tc>
          <w:tcPr>
            <w:tcW w:w="1935" w:type="dxa"/>
            <w:vMerge w:val="restart"/>
            <w:noWrap w:val="0"/>
            <w:vAlign w:val="center"/>
          </w:tcPr>
          <w:p w14:paraId="47826B5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使用中文字体）"/>
                <w:b w:val="0"/>
                <w:bCs w:val="0"/>
                <w:color w:val="auto"/>
                <w:spacing w:val="6"/>
                <w:sz w:val="21"/>
                <w:szCs w:val="21"/>
                <w:highlight w:val="none"/>
                <w:u w:val="none" w:color="auto"/>
                <w:vertAlign w:val="baseline"/>
                <w:lang w:eastAsia="zh-CN"/>
              </w:rPr>
            </w:pPr>
          </w:p>
          <w:p w14:paraId="1C8FE6B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使用中文字体）"/>
                <w:b w:val="0"/>
                <w:bCs w:val="0"/>
                <w:color w:val="auto"/>
                <w:spacing w:val="6"/>
                <w:sz w:val="21"/>
                <w:szCs w:val="21"/>
                <w:highlight w:val="none"/>
                <w:u w:val="none" w:color="auto"/>
                <w:vertAlign w:val="baseline"/>
                <w:lang w:eastAsia="zh-CN"/>
              </w:rPr>
            </w:pPr>
          </w:p>
          <w:p w14:paraId="60911BE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使用中文字体）"/>
                <w:b w:val="0"/>
                <w:bCs w:val="0"/>
                <w:color w:val="auto"/>
                <w:spacing w:val="6"/>
                <w:sz w:val="21"/>
                <w:szCs w:val="21"/>
                <w:highlight w:val="none"/>
                <w:u w:val="none" w:color="auto"/>
                <w:vertAlign w:val="baseline"/>
                <w:lang w:eastAsia="zh-CN"/>
              </w:rPr>
            </w:pPr>
          </w:p>
          <w:p w14:paraId="0441A01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使用中文字体）"/>
                <w:b w:val="0"/>
                <w:bCs w:val="0"/>
                <w:color w:val="auto"/>
                <w:spacing w:val="6"/>
                <w:sz w:val="21"/>
                <w:szCs w:val="21"/>
                <w:highlight w:val="none"/>
                <w:u w:val="none" w:color="auto"/>
                <w:vertAlign w:val="baseline"/>
                <w:lang w:eastAsia="zh-CN"/>
              </w:rPr>
            </w:pPr>
          </w:p>
          <w:p w14:paraId="7DD981C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使用中文字体）"/>
                <w:b w:val="0"/>
                <w:bCs w:val="0"/>
                <w:color w:val="auto"/>
                <w:spacing w:val="6"/>
                <w:sz w:val="21"/>
                <w:szCs w:val="21"/>
                <w:highlight w:val="none"/>
                <w:u w:val="none" w:color="auto"/>
                <w:vertAlign w:val="baseline"/>
                <w:lang w:eastAsia="zh-CN"/>
              </w:rPr>
            </w:pPr>
          </w:p>
          <w:p w14:paraId="26135D9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使用中文字体）"/>
                <w:b w:val="0"/>
                <w:bCs w:val="0"/>
                <w:color w:val="auto"/>
                <w:spacing w:val="6"/>
                <w:sz w:val="21"/>
                <w:szCs w:val="21"/>
                <w:highlight w:val="none"/>
                <w:u w:val="none" w:color="auto"/>
                <w:vertAlign w:val="baseline"/>
                <w:lang w:eastAsia="zh-CN"/>
              </w:rPr>
            </w:pPr>
          </w:p>
          <w:p w14:paraId="2058C45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使用中文字体）"/>
                <w:b w:val="0"/>
                <w:bCs w:val="0"/>
                <w:color w:val="auto"/>
                <w:spacing w:val="6"/>
                <w:sz w:val="21"/>
                <w:szCs w:val="21"/>
                <w:highlight w:val="none"/>
                <w:u w:val="none" w:color="auto"/>
                <w:vertAlign w:val="baseline"/>
                <w:lang w:eastAsia="zh-CN"/>
              </w:rPr>
            </w:pPr>
            <w:r>
              <w:rPr>
                <w:rFonts w:hint="eastAsia" w:eastAsia="方正仿宋简体" w:cs="（使用中文字体）"/>
                <w:b w:val="0"/>
                <w:bCs w:val="0"/>
                <w:color w:val="auto"/>
                <w:spacing w:val="6"/>
                <w:sz w:val="21"/>
                <w:szCs w:val="21"/>
                <w:highlight w:val="none"/>
                <w:u w:val="none" w:color="auto"/>
                <w:vertAlign w:val="baseline"/>
                <w:lang w:eastAsia="zh-CN"/>
              </w:rPr>
              <w:t>七、关于检查基层党组织领导班子和干部队伍建设方面、干部队伍能力结构失衡，后备干部储备不足方面</w:t>
            </w:r>
            <w:r>
              <w:rPr>
                <w:rFonts w:hint="eastAsia" w:ascii="Times New Roman" w:hAnsi="Times New Roman" w:eastAsia="方正仿宋简体" w:cs="方正仿宋简体"/>
                <w:b w:val="0"/>
                <w:bCs w:val="0"/>
                <w:color w:val="auto"/>
                <w:spacing w:val="6"/>
                <w:sz w:val="21"/>
                <w:szCs w:val="21"/>
                <w:highlight w:val="none"/>
                <w:u w:val="none" w:color="auto"/>
                <w:vertAlign w:val="baseline"/>
                <w:lang w:eastAsia="zh-CN"/>
              </w:rPr>
              <w:t>的整改进展情况</w:t>
            </w:r>
          </w:p>
        </w:tc>
        <w:tc>
          <w:tcPr>
            <w:tcW w:w="1860" w:type="dxa"/>
            <w:vMerge w:val="restart"/>
            <w:noWrap w:val="0"/>
            <w:vAlign w:val="center"/>
          </w:tcPr>
          <w:p w14:paraId="2AFBB80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1.强化思想认识，高度重视党建工作。</w:t>
            </w:r>
          </w:p>
          <w:p w14:paraId="635A776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6495" w:type="dxa"/>
            <w:noWrap w:val="0"/>
            <w:vAlign w:val="center"/>
          </w:tcPr>
          <w:p w14:paraId="44D81DC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一是提高政治站位，将党建工作纳入重要议事日程；二是定期召开专题会议研究党建工作，明确总支书记“第一责任人”职责，班子成员落实“一岗双责”，形成一级抓一级、层层抓落实的工作格局。</w:t>
            </w:r>
          </w:p>
        </w:tc>
        <w:tc>
          <w:tcPr>
            <w:tcW w:w="1509" w:type="dxa"/>
            <w:noWrap w:val="0"/>
            <w:vAlign w:val="center"/>
          </w:tcPr>
          <w:p w14:paraId="1F832E7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0AE3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0" w:hRule="atLeast"/>
          <w:jc w:val="center"/>
        </w:trPr>
        <w:tc>
          <w:tcPr>
            <w:tcW w:w="985" w:type="dxa"/>
            <w:vMerge w:val="continue"/>
            <w:noWrap w:val="0"/>
            <w:vAlign w:val="center"/>
          </w:tcPr>
          <w:p w14:paraId="7BB973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1935" w:type="dxa"/>
            <w:vMerge w:val="continue"/>
            <w:noWrap w:val="0"/>
            <w:vAlign w:val="center"/>
          </w:tcPr>
          <w:p w14:paraId="3A317BD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使用中文字体）"/>
                <w:b w:val="0"/>
                <w:bCs w:val="0"/>
                <w:color w:val="auto"/>
                <w:spacing w:val="6"/>
                <w:sz w:val="21"/>
                <w:szCs w:val="21"/>
                <w:highlight w:val="none"/>
                <w:u w:val="none" w:color="auto"/>
                <w:vertAlign w:val="baseline"/>
                <w:lang w:eastAsia="zh-CN"/>
              </w:rPr>
            </w:pPr>
          </w:p>
        </w:tc>
        <w:tc>
          <w:tcPr>
            <w:tcW w:w="1860" w:type="dxa"/>
            <w:vMerge w:val="continue"/>
            <w:noWrap w:val="0"/>
            <w:vAlign w:val="center"/>
          </w:tcPr>
          <w:p w14:paraId="15A5B1F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6495" w:type="dxa"/>
            <w:noWrap w:val="0"/>
            <w:vAlign w:val="center"/>
          </w:tcPr>
          <w:p w14:paraId="260B87C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加强理论学习，提高思想认识。积极对接基层党建办公室整理学习内容，每月发布到各支部，督促支部书记带领支部党员学习，以理论学习进一步夯实基层党建基础。二是规范党内生活，由党建指导员督促认真落实“三会一课”、组织生活会等制度，村副书记做好后台监测，每月提醒未开展“三会一课”的党支部及时开展，并安排专人检查支部会议记录是否规范，对不规范的，及时提醒更正。三是加强业务培训，组织支部书记、支委委员、村党总支书记、村党总支副书记集中培训学习，加强党务工作者的业务能力，进一步提升党建工作能力。四是加强与上级部门的沟通，对不清楚事宜及时请示上报。</w:t>
            </w:r>
          </w:p>
        </w:tc>
        <w:tc>
          <w:tcPr>
            <w:tcW w:w="1509" w:type="dxa"/>
            <w:noWrap w:val="0"/>
            <w:vAlign w:val="center"/>
          </w:tcPr>
          <w:p w14:paraId="415076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7D93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5" w:hRule="atLeast"/>
          <w:jc w:val="center"/>
        </w:trPr>
        <w:tc>
          <w:tcPr>
            <w:tcW w:w="985" w:type="dxa"/>
            <w:vMerge w:val="continue"/>
            <w:noWrap w:val="0"/>
            <w:vAlign w:val="center"/>
          </w:tcPr>
          <w:p w14:paraId="189870B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1935" w:type="dxa"/>
            <w:vMerge w:val="continue"/>
            <w:noWrap w:val="0"/>
            <w:vAlign w:val="center"/>
          </w:tcPr>
          <w:p w14:paraId="6D35112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使用中文字体）"/>
                <w:b w:val="0"/>
                <w:bCs w:val="0"/>
                <w:color w:val="auto"/>
                <w:spacing w:val="6"/>
                <w:sz w:val="21"/>
                <w:szCs w:val="21"/>
                <w:highlight w:val="none"/>
                <w:u w:val="none" w:color="auto"/>
                <w:vertAlign w:val="baseline"/>
                <w:lang w:eastAsia="zh-CN"/>
              </w:rPr>
            </w:pPr>
          </w:p>
        </w:tc>
        <w:tc>
          <w:tcPr>
            <w:tcW w:w="1860" w:type="dxa"/>
            <w:vMerge w:val="continue"/>
            <w:noWrap w:val="0"/>
            <w:vAlign w:val="center"/>
          </w:tcPr>
          <w:p w14:paraId="7C522C1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6495" w:type="dxa"/>
            <w:noWrap w:val="0"/>
            <w:vAlign w:val="center"/>
          </w:tcPr>
          <w:p w14:paraId="036BF60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严格材料审核。由乡党建指导员、对挂包支部组织生活会材料进行初审，避免照搬模板。支部书记或上级党组织对材料内容进行审核，提高材料质量。二是加强业务培训、进行提醒谈话等方式，提升党员党性，要求相关支部、支委委员进行撰写完善，举一反三，杜绝材料照搬照抄。三是邀请乡基层党建办公室工作人员进行业务指导，并就组织生活会相关程序再进行学习，不断提高其质量。</w:t>
            </w:r>
          </w:p>
        </w:tc>
        <w:tc>
          <w:tcPr>
            <w:tcW w:w="1509" w:type="dxa"/>
            <w:noWrap w:val="0"/>
            <w:vAlign w:val="center"/>
          </w:tcPr>
          <w:p w14:paraId="6D3D92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28E4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5" w:type="dxa"/>
            <w:vMerge w:val="continue"/>
            <w:noWrap w:val="0"/>
            <w:vAlign w:val="center"/>
          </w:tcPr>
          <w:p w14:paraId="18DC967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1935" w:type="dxa"/>
            <w:vMerge w:val="continue"/>
            <w:noWrap w:val="0"/>
            <w:vAlign w:val="center"/>
          </w:tcPr>
          <w:p w14:paraId="397E4C8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使用中文字体）"/>
                <w:b w:val="0"/>
                <w:bCs w:val="0"/>
                <w:color w:val="auto"/>
                <w:spacing w:val="6"/>
                <w:sz w:val="21"/>
                <w:szCs w:val="21"/>
                <w:highlight w:val="none"/>
                <w:u w:val="none" w:color="auto"/>
                <w:vertAlign w:val="baseline"/>
                <w:lang w:eastAsia="zh-CN"/>
              </w:rPr>
            </w:pPr>
          </w:p>
        </w:tc>
        <w:tc>
          <w:tcPr>
            <w:tcW w:w="1860" w:type="dxa"/>
            <w:vMerge w:val="continue"/>
            <w:noWrap w:val="0"/>
            <w:vAlign w:val="center"/>
          </w:tcPr>
          <w:p w14:paraId="6E1AEF0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6495" w:type="dxa"/>
            <w:noWrap w:val="0"/>
            <w:vAlign w:val="center"/>
          </w:tcPr>
          <w:p w14:paraId="2FDA9B6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11"/>
                <w:sz w:val="21"/>
                <w:szCs w:val="21"/>
                <w:highlight w:val="none"/>
                <w:u w:val="none" w:color="auto"/>
                <w:vertAlign w:val="baseline"/>
              </w:rPr>
              <w:t>一是加强督促指导，针对问题较多的支部开展“一对一”帮扶，选派经验丰富的党务干部进行指导，帮助梳理问题、制定整改方案，跟踪整改进度，确保问题逐项解决；二是结合工作实际采取“一对一”面谈、集体座谈、上门走访等形式，主动倾听党员诉求，及时协调解决并反馈，确保“谈深谈透、解决问题”。</w:t>
            </w:r>
          </w:p>
        </w:tc>
        <w:tc>
          <w:tcPr>
            <w:tcW w:w="1509" w:type="dxa"/>
            <w:noWrap w:val="0"/>
            <w:vAlign w:val="center"/>
          </w:tcPr>
          <w:p w14:paraId="355AE2A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197F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5" w:type="dxa"/>
            <w:vMerge w:val="continue"/>
            <w:noWrap w:val="0"/>
            <w:vAlign w:val="center"/>
          </w:tcPr>
          <w:p w14:paraId="0BD2886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eastAsia="方正仿宋简体" w:cs="（使用中文字体）"/>
                <w:b w:val="0"/>
                <w:bCs w:val="0"/>
                <w:color w:val="auto"/>
                <w:spacing w:val="6"/>
                <w:sz w:val="21"/>
                <w:szCs w:val="21"/>
                <w:highlight w:val="none"/>
                <w:u w:val="none" w:color="auto"/>
                <w:vertAlign w:val="baseline"/>
                <w:lang w:val="en-US" w:eastAsia="zh-CN"/>
              </w:rPr>
            </w:pPr>
          </w:p>
        </w:tc>
        <w:tc>
          <w:tcPr>
            <w:tcW w:w="1935" w:type="dxa"/>
            <w:vMerge w:val="continue"/>
            <w:noWrap w:val="0"/>
            <w:vAlign w:val="center"/>
          </w:tcPr>
          <w:p w14:paraId="6B9DC5F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使用中文字体）"/>
                <w:b w:val="0"/>
                <w:bCs w:val="0"/>
                <w:color w:val="auto"/>
                <w:spacing w:val="6"/>
                <w:sz w:val="21"/>
                <w:szCs w:val="21"/>
                <w:highlight w:val="none"/>
                <w:u w:val="none" w:color="auto"/>
                <w:vertAlign w:val="baseline"/>
                <w:lang w:eastAsia="zh-CN"/>
              </w:rPr>
            </w:pPr>
          </w:p>
        </w:tc>
        <w:tc>
          <w:tcPr>
            <w:tcW w:w="1860" w:type="dxa"/>
            <w:noWrap w:val="0"/>
            <w:vAlign w:val="center"/>
          </w:tcPr>
          <w:p w14:paraId="7F0E26E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2.坚持走群众路线，维护好群众利益、农户租赁土地等收益保障工作</w:t>
            </w:r>
          </w:p>
        </w:tc>
        <w:tc>
          <w:tcPr>
            <w:tcW w:w="6495" w:type="dxa"/>
            <w:noWrap w:val="0"/>
            <w:vAlign w:val="center"/>
          </w:tcPr>
          <w:p w14:paraId="18AE4AC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牢固践行群众路线，切实维护群众切身利益。全面摸排全村土地流转租赁协议，逐户核对土地面积、租赁期限、租金标准；定期跟进承租方履约情况，督促按时足额兑付土地租金；畅通群众问题反映渠道，对租金拖欠、合同争议问题及时协调化解，保障农户租赁收益稳定到位。</w:t>
            </w:r>
            <w:r>
              <w:rPr>
                <w:rFonts w:hint="eastAsia" w:eastAsia="方正仿宋简体" w:cs="（使用中文字体）"/>
                <w:b w:val="0"/>
                <w:bCs w:val="0"/>
                <w:color w:val="auto"/>
                <w:spacing w:val="6"/>
                <w:sz w:val="21"/>
                <w:szCs w:val="21"/>
                <w:highlight w:val="none"/>
                <w:u w:val="none" w:color="auto"/>
                <w:vertAlign w:val="baseline"/>
                <w:lang w:val="en-US" w:eastAsia="zh-CN"/>
              </w:rPr>
              <w:t>二是</w:t>
            </w:r>
            <w:r>
              <w:rPr>
                <w:rFonts w:hint="default" w:ascii="Times New Roman" w:hAnsi="Times New Roman" w:eastAsia="方正仿宋简体" w:cs="（使用中文字体）"/>
                <w:b w:val="0"/>
                <w:bCs w:val="0"/>
                <w:color w:val="auto"/>
                <w:spacing w:val="6"/>
                <w:sz w:val="21"/>
                <w:szCs w:val="21"/>
                <w:highlight w:val="none"/>
                <w:u w:val="none" w:color="auto"/>
                <w:vertAlign w:val="baseline"/>
              </w:rPr>
              <w:t>通过全面排查梳理，完善土地流转台账，及时化解潜在纠纷，全部农户土地租金按期足额发放到位。常态化开展履约情况排查，进一步筑牢群众权益保障防线，切实提升群众满意度。</w:t>
            </w:r>
          </w:p>
        </w:tc>
        <w:tc>
          <w:tcPr>
            <w:tcW w:w="1509" w:type="dxa"/>
            <w:noWrap w:val="0"/>
            <w:vAlign w:val="center"/>
          </w:tcPr>
          <w:p w14:paraId="74F7E05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bl>
    <w:p w14:paraId="665D8080"/>
    <w:p w14:paraId="1BB47E89">
      <w:pPr>
        <w:pStyle w:val="9"/>
        <w:rPr>
          <w:rFonts w:hint="eastAsia" w:ascii="Times New Roman" w:hAnsi="Times New Roman" w:eastAsia="方正仿宋简体" w:cs="Times New Roman"/>
          <w:lang w:eastAsia="zh-CN"/>
        </w:rPr>
      </w:pPr>
    </w:p>
    <w:p w14:paraId="3A0B343E">
      <w:pPr>
        <w:pStyle w:val="9"/>
        <w:rPr>
          <w:rFonts w:hint="eastAsia" w:ascii="Times New Roman" w:hAnsi="Times New Roman" w:eastAsia="方正仿宋简体" w:cs="Times New Roman"/>
          <w:lang w:eastAsia="zh-CN"/>
        </w:rPr>
      </w:pPr>
    </w:p>
    <w:p w14:paraId="69B0A603">
      <w:pPr>
        <w:pStyle w:val="9"/>
        <w:rPr>
          <w:rFonts w:hint="eastAsia" w:ascii="Times New Roman" w:hAnsi="Times New Roman" w:eastAsia="方正仿宋简体" w:cs="Times New Roman"/>
          <w:lang w:eastAsia="zh-CN"/>
        </w:rPr>
      </w:pPr>
    </w:p>
    <w:p w14:paraId="20B8DCDF">
      <w:pPr>
        <w:pStyle w:val="9"/>
        <w:rPr>
          <w:rFonts w:hint="eastAsia" w:ascii="Times New Roman" w:hAnsi="Times New Roman" w:eastAsia="方正仿宋简体" w:cs="Times New Roman"/>
          <w:lang w:eastAsia="zh-CN"/>
        </w:rPr>
      </w:pPr>
    </w:p>
    <w:p w14:paraId="3EA7CA4D">
      <w:pPr>
        <w:pStyle w:val="9"/>
        <w:rPr>
          <w:rFonts w:hint="eastAsia" w:ascii="Times New Roman" w:hAnsi="Times New Roman" w:eastAsia="方正仿宋简体" w:cs="Times New Roman"/>
          <w:lang w:eastAsia="zh-CN"/>
        </w:rPr>
      </w:pPr>
    </w:p>
    <w:p w14:paraId="6B6A7D5C">
      <w:pPr>
        <w:pStyle w:val="9"/>
        <w:rPr>
          <w:rFonts w:hint="eastAsia" w:ascii="Times New Roman" w:hAnsi="Times New Roman" w:eastAsia="方正仿宋简体" w:cs="Times New Roman"/>
          <w:lang w:eastAsia="zh-CN"/>
        </w:rPr>
      </w:pPr>
    </w:p>
    <w:p w14:paraId="24D1CDAA">
      <w:pPr>
        <w:pStyle w:val="9"/>
        <w:rPr>
          <w:rFonts w:hint="eastAsia" w:ascii="Times New Roman" w:hAnsi="Times New Roman" w:eastAsia="方正仿宋简体" w:cs="Times New Roman"/>
          <w:lang w:eastAsia="zh-CN"/>
        </w:rPr>
      </w:pPr>
    </w:p>
    <w:p w14:paraId="0E3EEC0D">
      <w:pPr>
        <w:pStyle w:val="9"/>
        <w:rPr>
          <w:rFonts w:hint="eastAsia" w:ascii="Times New Roman" w:hAnsi="Times New Roman" w:eastAsia="方正仿宋简体" w:cs="Times New Roman"/>
          <w:lang w:eastAsia="zh-CN"/>
        </w:rPr>
      </w:pPr>
    </w:p>
    <w:p w14:paraId="14DEDB6F">
      <w:pPr>
        <w:pStyle w:val="9"/>
        <w:rPr>
          <w:rFonts w:hint="eastAsia" w:ascii="Times New Roman" w:hAnsi="Times New Roman" w:eastAsia="方正仿宋简体" w:cs="Times New Roman"/>
          <w:lang w:eastAsia="zh-CN"/>
        </w:rPr>
      </w:pPr>
    </w:p>
    <w:p w14:paraId="7DDEC1A7">
      <w:pPr>
        <w:pStyle w:val="9"/>
        <w:rPr>
          <w:rFonts w:hint="eastAsia" w:ascii="Times New Roman" w:hAnsi="Times New Roman" w:eastAsia="方正仿宋简体" w:cs="Times New Roman"/>
          <w:lang w:eastAsia="zh-CN"/>
        </w:rPr>
      </w:pPr>
    </w:p>
    <w:p w14:paraId="1BBE87E3">
      <w:pPr>
        <w:pStyle w:val="9"/>
        <w:rPr>
          <w:rFonts w:hint="eastAsia" w:ascii="Times New Roman" w:hAnsi="Times New Roman" w:eastAsia="方正仿宋简体" w:cs="Times New Roman"/>
          <w:lang w:eastAsia="zh-CN"/>
        </w:rPr>
      </w:pPr>
    </w:p>
    <w:p w14:paraId="779079D4">
      <w:pPr>
        <w:pStyle w:val="9"/>
        <w:rPr>
          <w:rFonts w:hint="eastAsia" w:ascii="Times New Roman" w:hAnsi="Times New Roman" w:eastAsia="方正仿宋简体" w:cs="Times New Roman"/>
          <w:lang w:eastAsia="zh-CN"/>
        </w:rPr>
      </w:pPr>
    </w:p>
    <w:p w14:paraId="38EFB8CF">
      <w:pPr>
        <w:pStyle w:val="9"/>
        <w:rPr>
          <w:rFonts w:hint="eastAsia" w:ascii="Times New Roman" w:hAnsi="Times New Roman" w:eastAsia="方正仿宋简体" w:cs="Times New Roman"/>
          <w:lang w:eastAsia="zh-CN"/>
        </w:rPr>
      </w:pPr>
    </w:p>
    <w:p w14:paraId="47BD4A25">
      <w:pPr>
        <w:pStyle w:val="9"/>
        <w:rPr>
          <w:rFonts w:hint="eastAsia" w:ascii="Times New Roman" w:hAnsi="Times New Roman" w:eastAsia="方正仿宋简体" w:cs="Times New Roman"/>
          <w:lang w:eastAsia="zh-CN"/>
        </w:rPr>
      </w:pPr>
    </w:p>
    <w:p w14:paraId="303B08C2">
      <w:pPr>
        <w:pStyle w:val="9"/>
        <w:rPr>
          <w:rFonts w:hint="eastAsia" w:ascii="Times New Roman" w:hAnsi="Times New Roman" w:eastAsia="方正仿宋简体" w:cs="Times New Roman"/>
          <w:lang w:eastAsia="zh-CN"/>
        </w:rPr>
      </w:pPr>
    </w:p>
    <w:p w14:paraId="76C679A6"/>
    <w:sectPr>
      <w:footerReference r:id="rId3" w:type="default"/>
      <w:pgSz w:w="16838" w:h="11906" w:orient="landscape"/>
      <w:pgMar w:top="1587" w:right="2211" w:bottom="1474" w:left="187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简体">
    <w:altName w:val="宋体"/>
    <w:panose1 w:val="03000509000000000000"/>
    <w:charset w:val="86"/>
    <w:family w:val="script"/>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方正仿宋简体">
    <w:altName w:val="微软雅黑"/>
    <w:panose1 w:val="03000509000000000000"/>
    <w:charset w:val="86"/>
    <w:family w:val="auto"/>
    <w:pitch w:val="default"/>
    <w:sig w:usb0="00000000" w:usb1="0000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font>
  <w:font w:name="（使用中文字体）">
    <w:altName w:val="yyb"/>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yyb">
    <w:panose1 w:val="020B0200000000000000"/>
    <w:charset w:val="86"/>
    <w:family w:val="auto"/>
    <w:pitch w:val="default"/>
    <w:sig w:usb0="20000083" w:usb1="10000000" w:usb2="00000016" w:usb3="00000000" w:csb0="60060107"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48AD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1E023">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E1E023">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DF8162"/>
    <w:multiLevelType w:val="singleLevel"/>
    <w:tmpl w:val="EBDF8162"/>
    <w:lvl w:ilvl="0" w:tentative="0">
      <w:start w:val="1"/>
      <w:numFmt w:val="chineseCounting"/>
      <w:pStyle w:val="2"/>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2B5F0D"/>
    <w:rsid w:val="4A2B5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next w:val="1"/>
    <w:unhideWhenUsed/>
    <w:qFormat/>
    <w:uiPriority w:val="0"/>
    <w:pPr>
      <w:keepNext/>
      <w:keepLines/>
      <w:widowControl w:val="0"/>
      <w:numPr>
        <w:ilvl w:val="0"/>
        <w:numId w:val="1"/>
      </w:numPr>
      <w:spacing w:line="560" w:lineRule="exact"/>
      <w:ind w:firstLine="880" w:firstLineChars="200"/>
      <w:jc w:val="both"/>
      <w:outlineLvl w:val="1"/>
    </w:pPr>
    <w:rPr>
      <w:rFonts w:ascii="Times New Roman" w:hAnsi="Times New Roman" w:eastAsia="方正楷体简体" w:cs="Times New Roman"/>
      <w:kern w:val="2"/>
      <w:sz w:val="34"/>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Indent 2"/>
    <w:qFormat/>
    <w:uiPriority w:val="0"/>
    <w:pPr>
      <w:widowControl w:val="0"/>
      <w:spacing w:after="120" w:afterLines="0" w:afterAutospacing="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jc w:val="left"/>
    </w:pPr>
    <w:rPr>
      <w:kern w:val="0"/>
      <w:sz w:val="24"/>
      <w:szCs w:val="24"/>
    </w:rPr>
  </w:style>
  <w:style w:type="table" w:styleId="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Normal Indent1"/>
    <w:basedOn w:val="10"/>
    <w:qFormat/>
    <w:uiPriority w:val="0"/>
    <w:pPr>
      <w:ind w:firstLine="420" w:firstLineChars="200"/>
    </w:pPr>
  </w:style>
  <w:style w:type="paragraph" w:customStyle="1" w:styleId="10">
    <w:name w:val="正文 New New New"/>
    <w:next w:val="9"/>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2026-09-03T06:22:00Z</dcterms:created>
  <dc:creator>在水一方</dc:creator>
  <cp:lastModifiedBy>在水一方</cp:lastModifiedBy>
  <dcterms:modified xsi:type="dcterms:W3CDTF">2026-09-03T06:29:37Z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1324B7BB713C494DB8B77A3500DE705E_11</vt:lpwstr>
  </property>
  <property fmtid="{D5CDD505-2E9C-101B-9397-08002B2CF9AE}" pid="4" name="KSOTemplateDocerSaveRecord">
    <vt:lpwstr>eyJoZGlkIjoiZjVkZGY1M2E5OTE3ZDk1MzRmZjIzNDNkMTIxMTcxYmIiLCJ1c2VySWQiOiI0NjM0MDM3NDMifQ==</vt:lpwstr>
  </property>
</Properties>
</file>