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31218">
      <w:pPr>
        <w:rPr>
          <w:rFonts w:hint="default" w:eastAsia="宋体"/>
          <w:lang w:val="en-US" w:eastAsia="zh-CN"/>
        </w:rPr>
      </w:pPr>
    </w:p>
    <w:p w14:paraId="38E2BFA5">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eastAsia" w:ascii="Times New Roman" w:hAnsi="Times New Roman" w:eastAsia="方正黑体简体" w:cs="方正黑体简体"/>
          <w:sz w:val="34"/>
          <w:szCs w:val="44"/>
          <w:highlight w:val="none"/>
          <w:u w:val="none" w:color="auto"/>
          <w:lang w:val="en-US" w:eastAsia="zh-CN"/>
        </w:rPr>
      </w:pPr>
      <w:bookmarkStart w:id="0" w:name="_GoBack"/>
      <w:r>
        <w:rPr>
          <w:rFonts w:hint="eastAsia" w:ascii="Times New Roman" w:hAnsi="Times New Roman" w:eastAsia="方正黑体简体" w:cs="方正黑体简体"/>
          <w:sz w:val="34"/>
          <w:szCs w:val="44"/>
          <w:highlight w:val="none"/>
          <w:u w:val="none" w:color="auto"/>
          <w:lang w:val="en-US" w:eastAsia="zh-CN"/>
        </w:rPr>
        <w:t>附件</w:t>
      </w:r>
      <w:r>
        <w:rPr>
          <w:rFonts w:hint="eastAsia" w:eastAsia="方正黑体简体" w:cs="方正黑体简体"/>
          <w:sz w:val="34"/>
          <w:szCs w:val="44"/>
          <w:highlight w:val="none"/>
          <w:u w:val="none" w:color="auto"/>
          <w:lang w:val="en-US" w:eastAsia="zh-CN"/>
        </w:rPr>
        <w:t>4</w:t>
      </w:r>
    </w:p>
    <w:bookmarkEnd w:id="0"/>
    <w:p w14:paraId="63090019">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157" w:afterLines="50" w:line="560" w:lineRule="exact"/>
        <w:ind w:left="0" w:leftChars="0" w:firstLine="0" w:firstLineChars="0"/>
        <w:jc w:val="center"/>
        <w:textAlignment w:val="auto"/>
        <w:rPr>
          <w:rFonts w:hint="default" w:ascii="Times New Roman" w:hAnsi="Times New Roman" w:eastAsia="方正小标宋简体" w:cs="Times New Roman"/>
          <w:sz w:val="44"/>
          <w:szCs w:val="44"/>
          <w:highlight w:val="none"/>
          <w:u w:val="none" w:color="auto"/>
          <w:lang w:val="en-US" w:eastAsia="zh-CN"/>
        </w:rPr>
      </w:pPr>
      <w:r>
        <w:rPr>
          <w:rFonts w:hint="eastAsia" w:ascii="Times New Roman" w:hAnsi="Times New Roman" w:eastAsia="方正小标宋简体" w:cs="Times New Roman"/>
          <w:sz w:val="44"/>
          <w:szCs w:val="44"/>
          <w:highlight w:val="none"/>
          <w:u w:val="none" w:color="auto"/>
          <w:lang w:val="en-US" w:eastAsia="zh-CN"/>
        </w:rPr>
        <w:t>十三届县委第八轮</w:t>
      </w:r>
      <w:r>
        <w:rPr>
          <w:rFonts w:hint="default" w:ascii="Times New Roman" w:hAnsi="Times New Roman" w:eastAsia="方正小标宋简体" w:cs="Times New Roman"/>
          <w:sz w:val="44"/>
          <w:szCs w:val="44"/>
          <w:highlight w:val="none"/>
          <w:u w:val="none" w:color="auto"/>
          <w:lang w:val="en-US" w:eastAsia="zh-CN"/>
        </w:rPr>
        <w:t>巡察</w:t>
      </w:r>
      <w:r>
        <w:rPr>
          <w:rFonts w:hint="eastAsia" w:eastAsia="方正小标宋简体" w:cs="Times New Roman"/>
          <w:sz w:val="44"/>
          <w:szCs w:val="44"/>
          <w:highlight w:val="none"/>
          <w:u w:val="none" w:color="auto"/>
          <w:lang w:val="en-US" w:eastAsia="zh-CN"/>
        </w:rPr>
        <w:t>多依村</w:t>
      </w:r>
      <w:r>
        <w:rPr>
          <w:rFonts w:hint="default" w:ascii="Times New Roman" w:hAnsi="Times New Roman" w:eastAsia="方正小标宋简体" w:cs="Times New Roman"/>
          <w:sz w:val="44"/>
          <w:szCs w:val="44"/>
          <w:highlight w:val="none"/>
          <w:u w:val="none" w:color="auto"/>
          <w:lang w:val="en-US" w:eastAsia="zh-CN"/>
        </w:rPr>
        <w:t>反馈问题社会公开台账</w:t>
      </w:r>
    </w:p>
    <w:p w14:paraId="217EF219">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157" w:afterLines="50" w:line="560" w:lineRule="exact"/>
        <w:ind w:left="0" w:leftChars="0" w:firstLine="0" w:firstLineChars="0"/>
        <w:jc w:val="both"/>
        <w:textAlignment w:val="auto"/>
        <w:rPr>
          <w:rFonts w:hint="eastAsia" w:ascii="方正楷体简体" w:hAnsi="方正楷体简体" w:eastAsia="方正楷体简体" w:cs="方正楷体简体"/>
          <w:b w:val="0"/>
          <w:bCs w:val="0"/>
          <w:sz w:val="24"/>
          <w:szCs w:val="24"/>
          <w:highlight w:val="none"/>
          <w:u w:val="none" w:color="auto"/>
          <w:lang w:eastAsia="zh-CN"/>
        </w:rPr>
      </w:pPr>
      <w:r>
        <w:rPr>
          <w:rFonts w:hint="eastAsia" w:ascii="方正楷体简体" w:hAnsi="方正楷体简体" w:eastAsia="方正楷体简体" w:cs="方正楷体简体"/>
          <w:b w:val="0"/>
          <w:bCs w:val="0"/>
          <w:sz w:val="24"/>
          <w:szCs w:val="24"/>
          <w:highlight w:val="none"/>
          <w:u w:val="none" w:color="auto"/>
        </w:rPr>
        <w:t>填报单位（加盖公章）：</w:t>
      </w:r>
      <w:r>
        <w:rPr>
          <w:rFonts w:hint="eastAsia" w:ascii="方正楷体简体" w:hAnsi="方正楷体简体" w:eastAsia="方正楷体简体" w:cs="方正楷体简体"/>
          <w:b w:val="0"/>
          <w:bCs w:val="0"/>
          <w:sz w:val="24"/>
          <w:szCs w:val="24"/>
          <w:highlight w:val="none"/>
          <w:u w:val="none" w:color="auto"/>
          <w:lang w:eastAsia="zh-CN"/>
        </w:rPr>
        <w:t xml:space="preserve">中共文东佤族乡委员会 </w:t>
      </w:r>
      <w:r>
        <w:rPr>
          <w:rFonts w:hint="eastAsia" w:ascii="方正楷体简体" w:hAnsi="方正楷体简体" w:eastAsia="方正楷体简体" w:cs="方正楷体简体"/>
          <w:b w:val="0"/>
          <w:bCs w:val="0"/>
          <w:sz w:val="24"/>
          <w:szCs w:val="24"/>
          <w:highlight w:val="none"/>
          <w:u w:val="none" w:color="auto"/>
          <w:lang w:val="en-US" w:eastAsia="zh-CN"/>
        </w:rPr>
        <w:t xml:space="preserve">                                                </w:t>
      </w:r>
      <w:r>
        <w:rPr>
          <w:rFonts w:hint="eastAsia" w:ascii="方正楷体简体" w:hAnsi="方正楷体简体" w:eastAsia="方正楷体简体" w:cs="方正楷体简体"/>
          <w:b w:val="0"/>
          <w:bCs w:val="0"/>
          <w:sz w:val="24"/>
          <w:szCs w:val="24"/>
          <w:highlight w:val="none"/>
          <w:u w:val="none" w:color="auto"/>
        </w:rPr>
        <w:t>填报日期：</w:t>
      </w:r>
      <w:r>
        <w:rPr>
          <w:rFonts w:hint="eastAsia" w:ascii="方正楷体简体" w:hAnsi="方正楷体简体" w:eastAsia="方正楷体简体" w:cs="方正楷体简体"/>
          <w:b w:val="0"/>
          <w:bCs w:val="0"/>
          <w:sz w:val="24"/>
          <w:szCs w:val="24"/>
          <w:highlight w:val="none"/>
          <w:u w:val="none" w:color="auto"/>
          <w:lang w:val="en-US" w:eastAsia="zh-CN"/>
        </w:rPr>
        <w:t>2026</w:t>
      </w:r>
      <w:r>
        <w:rPr>
          <w:rFonts w:hint="eastAsia" w:ascii="方正楷体简体" w:hAnsi="方正楷体简体" w:eastAsia="方正楷体简体" w:cs="方正楷体简体"/>
          <w:b w:val="0"/>
          <w:bCs w:val="0"/>
          <w:sz w:val="24"/>
          <w:szCs w:val="24"/>
          <w:highlight w:val="none"/>
          <w:u w:val="none" w:color="auto"/>
        </w:rPr>
        <w:t>年</w:t>
      </w:r>
      <w:r>
        <w:rPr>
          <w:rFonts w:hint="eastAsia" w:ascii="方正楷体简体" w:hAnsi="方正楷体简体" w:eastAsia="方正楷体简体" w:cs="方正楷体简体"/>
          <w:b w:val="0"/>
          <w:bCs w:val="0"/>
          <w:sz w:val="24"/>
          <w:szCs w:val="24"/>
          <w:highlight w:val="none"/>
          <w:u w:val="none" w:color="auto"/>
          <w:lang w:val="en-US" w:eastAsia="zh-CN"/>
        </w:rPr>
        <w:t>8</w:t>
      </w:r>
      <w:r>
        <w:rPr>
          <w:rFonts w:hint="eastAsia" w:ascii="方正楷体简体" w:hAnsi="方正楷体简体" w:eastAsia="方正楷体简体" w:cs="方正楷体简体"/>
          <w:b w:val="0"/>
          <w:bCs w:val="0"/>
          <w:sz w:val="24"/>
          <w:szCs w:val="24"/>
          <w:highlight w:val="none"/>
          <w:u w:val="none" w:color="auto"/>
        </w:rPr>
        <w:t>月</w:t>
      </w:r>
      <w:r>
        <w:rPr>
          <w:rFonts w:hint="eastAsia" w:ascii="方正楷体简体" w:hAnsi="方正楷体简体" w:eastAsia="方正楷体简体" w:cs="方正楷体简体"/>
          <w:b w:val="0"/>
          <w:bCs w:val="0"/>
          <w:sz w:val="24"/>
          <w:szCs w:val="24"/>
          <w:highlight w:val="none"/>
          <w:u w:val="none" w:color="auto"/>
          <w:lang w:val="en-US" w:eastAsia="zh-CN"/>
        </w:rPr>
        <w:t>28</w:t>
      </w:r>
      <w:r>
        <w:rPr>
          <w:rFonts w:hint="eastAsia" w:ascii="方正楷体简体" w:hAnsi="方正楷体简体" w:eastAsia="方正楷体简体" w:cs="方正楷体简体"/>
          <w:b w:val="0"/>
          <w:bCs w:val="0"/>
          <w:sz w:val="24"/>
          <w:szCs w:val="24"/>
          <w:highlight w:val="none"/>
          <w:u w:val="none" w:color="auto"/>
          <w:lang w:eastAsia="zh-CN"/>
        </w:rPr>
        <w:t>日</w:t>
      </w:r>
    </w:p>
    <w:tbl>
      <w:tblPr>
        <w:tblStyle w:val="7"/>
        <w:tblW w:w="15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2663"/>
        <w:gridCol w:w="2925"/>
        <w:gridCol w:w="6930"/>
        <w:gridCol w:w="1264"/>
      </w:tblGrid>
      <w:tr w14:paraId="1A9B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1332" w:type="dxa"/>
            <w:noWrap w:val="0"/>
            <w:vAlign w:val="center"/>
          </w:tcPr>
          <w:p w14:paraId="4C2986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序号</w:t>
            </w:r>
          </w:p>
        </w:tc>
        <w:tc>
          <w:tcPr>
            <w:tcW w:w="2663" w:type="dxa"/>
            <w:noWrap w:val="0"/>
            <w:vAlign w:val="center"/>
          </w:tcPr>
          <w:p w14:paraId="355459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问题分类（二级标题）</w:t>
            </w:r>
          </w:p>
        </w:tc>
        <w:tc>
          <w:tcPr>
            <w:tcW w:w="2925" w:type="dxa"/>
            <w:noWrap w:val="0"/>
            <w:vAlign w:val="center"/>
          </w:tcPr>
          <w:p w14:paraId="0D8C6C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lang w:eastAsia="zh-CN"/>
              </w:rPr>
            </w:pPr>
            <w:r>
              <w:rPr>
                <w:rFonts w:hint="eastAsia" w:eastAsia="方正黑体简体" w:cs="方正黑体简体"/>
                <w:b w:val="0"/>
                <w:bCs w:val="0"/>
                <w:color w:val="auto"/>
                <w:spacing w:val="6"/>
                <w:sz w:val="24"/>
                <w:szCs w:val="24"/>
                <w:highlight w:val="none"/>
                <w:u w:val="none" w:color="auto"/>
                <w:vertAlign w:val="baseline"/>
                <w:lang w:eastAsia="zh-CN"/>
              </w:rPr>
              <w:t>主要措施</w:t>
            </w:r>
          </w:p>
        </w:tc>
        <w:tc>
          <w:tcPr>
            <w:tcW w:w="6930" w:type="dxa"/>
            <w:noWrap w:val="0"/>
            <w:vAlign w:val="center"/>
          </w:tcPr>
          <w:p w14:paraId="340B00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整改工作及成效</w:t>
            </w:r>
          </w:p>
        </w:tc>
        <w:tc>
          <w:tcPr>
            <w:tcW w:w="1264" w:type="dxa"/>
            <w:noWrap w:val="0"/>
            <w:vAlign w:val="center"/>
          </w:tcPr>
          <w:p w14:paraId="31FDED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kern w:val="2"/>
                <w:sz w:val="24"/>
                <w:szCs w:val="24"/>
                <w:highlight w:val="none"/>
                <w:u w:val="none" w:color="auto"/>
                <w:vertAlign w:val="baseline"/>
                <w:lang w:val="en-US" w:eastAsia="zh-CN" w:bidi="ar-SA"/>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备注</w:t>
            </w:r>
          </w:p>
        </w:tc>
      </w:tr>
      <w:tr w14:paraId="11C4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1332" w:type="dxa"/>
            <w:noWrap w:val="0"/>
            <w:vAlign w:val="center"/>
          </w:tcPr>
          <w:p w14:paraId="4049C1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w:t>
            </w:r>
          </w:p>
        </w:tc>
        <w:tc>
          <w:tcPr>
            <w:tcW w:w="2663" w:type="dxa"/>
            <w:vMerge w:val="restart"/>
            <w:noWrap w:val="0"/>
            <w:vAlign w:val="center"/>
          </w:tcPr>
          <w:p w14:paraId="42FE6E9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方正仿宋简体"/>
                <w:b/>
                <w:bCs/>
                <w:color w:val="auto"/>
                <w:spacing w:val="6"/>
                <w:sz w:val="21"/>
                <w:szCs w:val="21"/>
                <w:highlight w:val="none"/>
                <w:u w:val="none" w:color="auto"/>
                <w:vertAlign w:val="baseline"/>
                <w:lang w:val="en-US" w:eastAsia="zh-CN"/>
              </w:rPr>
            </w:pPr>
            <w:r>
              <w:rPr>
                <w:rFonts w:hint="eastAsia" w:ascii="Times New Roman" w:hAnsi="Times New Roman" w:eastAsia="方正仿宋简体" w:cs="方正仿宋简体"/>
                <w:b/>
                <w:bCs/>
                <w:color w:val="auto"/>
                <w:spacing w:val="6"/>
                <w:sz w:val="21"/>
                <w:szCs w:val="21"/>
                <w:highlight w:val="none"/>
                <w:u w:val="none" w:color="auto"/>
                <w:vertAlign w:val="baseline"/>
                <w:lang w:eastAsia="zh-CN"/>
              </w:rPr>
              <w:t>一、</w:t>
            </w:r>
            <w:r>
              <w:rPr>
                <w:rFonts w:hint="eastAsia" w:eastAsia="方正仿宋简体" w:cs="方正仿宋简体"/>
                <w:b w:val="0"/>
                <w:bCs w:val="0"/>
                <w:color w:val="auto"/>
                <w:spacing w:val="6"/>
                <w:sz w:val="21"/>
                <w:szCs w:val="21"/>
                <w:highlight w:val="none"/>
                <w:u w:val="none" w:color="auto"/>
                <w:vertAlign w:val="baseline"/>
                <w:lang w:eastAsia="zh-CN"/>
              </w:rPr>
              <w:t>关于</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检查巡视巡察、审计等监督发现问题整改</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925" w:type="dxa"/>
            <w:noWrap w:val="0"/>
            <w:vAlign w:val="center"/>
          </w:tcPr>
          <w:p w14:paraId="6CD6E73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1.严格抓实监督检查问题整改落实。</w:t>
            </w:r>
          </w:p>
        </w:tc>
        <w:tc>
          <w:tcPr>
            <w:tcW w:w="6930" w:type="dxa"/>
            <w:noWrap w:val="0"/>
            <w:vAlign w:val="center"/>
          </w:tcPr>
          <w:p w14:paraId="3BFF27F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一是进一步深化对监督检查问题整改的认识，成立分片包组工作队，落实到点、到人开展收缴工作。二是针对欠款农户收入情况认真分析，在</w:t>
            </w:r>
            <w:r>
              <w:rPr>
                <w:rFonts w:hint="eastAsia" w:eastAsia="方正仿宋简体" w:cs="（使用中文字体）"/>
                <w:b w:val="0"/>
                <w:bCs w:val="0"/>
                <w:color w:val="auto"/>
                <w:spacing w:val="6"/>
                <w:sz w:val="21"/>
                <w:szCs w:val="21"/>
                <w:highlight w:val="none"/>
                <w:u w:val="none" w:color="auto"/>
                <w:vertAlign w:val="baseline"/>
                <w:lang w:val="en-US" w:eastAsia="zh-CN"/>
              </w:rPr>
              <w:t>合适</w:t>
            </w:r>
            <w:r>
              <w:rPr>
                <w:rFonts w:hint="default" w:ascii="Times New Roman" w:hAnsi="Times New Roman" w:eastAsia="方正仿宋简体" w:cs="（使用中文字体）"/>
                <w:b w:val="0"/>
                <w:bCs w:val="0"/>
                <w:color w:val="auto"/>
                <w:spacing w:val="6"/>
                <w:sz w:val="21"/>
                <w:szCs w:val="21"/>
                <w:highlight w:val="none"/>
                <w:u w:val="none" w:color="auto"/>
                <w:vertAlign w:val="baseline"/>
              </w:rPr>
              <w:t>时间段进行入户收缴工作。三是不定期对</w:t>
            </w:r>
            <w:r>
              <w:rPr>
                <w:rFonts w:hint="eastAsia" w:eastAsia="方正仿宋简体" w:cs="（使用中文字体）"/>
                <w:b w:val="0"/>
                <w:bCs w:val="0"/>
                <w:color w:val="auto"/>
                <w:spacing w:val="6"/>
                <w:sz w:val="21"/>
                <w:szCs w:val="21"/>
                <w:highlight w:val="none"/>
                <w:u w:val="none" w:color="auto"/>
                <w:vertAlign w:val="baseline"/>
                <w:lang w:val="en-US" w:eastAsia="zh-CN"/>
              </w:rPr>
              <w:t>款项</w:t>
            </w:r>
            <w:r>
              <w:rPr>
                <w:rFonts w:hint="default" w:ascii="Times New Roman" w:hAnsi="Times New Roman" w:eastAsia="方正仿宋简体" w:cs="（使用中文字体）"/>
                <w:b w:val="0"/>
                <w:bCs w:val="0"/>
                <w:color w:val="auto"/>
                <w:spacing w:val="6"/>
                <w:sz w:val="21"/>
                <w:szCs w:val="21"/>
                <w:highlight w:val="none"/>
                <w:u w:val="none" w:color="auto"/>
                <w:vertAlign w:val="baseline"/>
              </w:rPr>
              <w:t>收缴工作过程中发现的问题进行分析研判，在确保不发生矛盾纠纷的前提下逐步优化收缴工作流程，提高收缴进度。</w:t>
            </w:r>
          </w:p>
        </w:tc>
        <w:tc>
          <w:tcPr>
            <w:tcW w:w="1264" w:type="dxa"/>
            <w:noWrap w:val="0"/>
            <w:vAlign w:val="center"/>
          </w:tcPr>
          <w:p w14:paraId="313E51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6F0A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jc w:val="center"/>
        </w:trPr>
        <w:tc>
          <w:tcPr>
            <w:tcW w:w="1332" w:type="dxa"/>
            <w:noWrap w:val="0"/>
            <w:vAlign w:val="center"/>
          </w:tcPr>
          <w:p w14:paraId="4DB968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w:t>
            </w:r>
          </w:p>
        </w:tc>
        <w:tc>
          <w:tcPr>
            <w:tcW w:w="2663" w:type="dxa"/>
            <w:vMerge w:val="continue"/>
            <w:noWrap w:val="0"/>
            <w:vAlign w:val="center"/>
          </w:tcPr>
          <w:p w14:paraId="00E276E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lang w:eastAsia="zh-CN"/>
              </w:rPr>
            </w:pPr>
          </w:p>
        </w:tc>
        <w:tc>
          <w:tcPr>
            <w:tcW w:w="2925" w:type="dxa"/>
            <w:noWrap w:val="0"/>
            <w:vAlign w:val="center"/>
          </w:tcPr>
          <w:p w14:paraId="5DB0AAE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2.提高政治站位，做好监督检查问题整改落实。</w:t>
            </w:r>
          </w:p>
        </w:tc>
        <w:tc>
          <w:tcPr>
            <w:tcW w:w="6930" w:type="dxa"/>
            <w:noWrap w:val="0"/>
            <w:vAlign w:val="center"/>
          </w:tcPr>
          <w:p w14:paraId="419F3853">
            <w:pPr>
              <w:keepNext w:val="0"/>
              <w:keepLines w:val="0"/>
              <w:pageBreakBefore w:val="0"/>
              <w:widowControl w:val="0"/>
              <w:tabs>
                <w:tab w:val="left" w:pos="2590"/>
              </w:tabs>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eastAsia="方正仿宋简体" w:cs="（使用中文字体）"/>
                <w:b w:val="0"/>
                <w:bCs w:val="0"/>
                <w:color w:val="auto"/>
                <w:spacing w:val="6"/>
                <w:sz w:val="21"/>
                <w:szCs w:val="21"/>
                <w:highlight w:val="none"/>
                <w:u w:val="none" w:color="auto"/>
                <w:vertAlign w:val="baseline"/>
                <w:lang w:eastAsia="zh-CN"/>
              </w:rPr>
              <w:t>一是积极与村财乡管工作人员对接，整理</w:t>
            </w:r>
            <w:r>
              <w:rPr>
                <w:rFonts w:hint="eastAsia" w:eastAsia="方正仿宋简体" w:cs="（使用中文字体）"/>
                <w:b w:val="0"/>
                <w:bCs w:val="0"/>
                <w:color w:val="auto"/>
                <w:spacing w:val="6"/>
                <w:sz w:val="21"/>
                <w:szCs w:val="21"/>
                <w:highlight w:val="none"/>
                <w:u w:val="none" w:color="auto"/>
                <w:vertAlign w:val="baseline"/>
                <w:lang w:val="en-US" w:eastAsia="zh-CN"/>
              </w:rPr>
              <w:t>所涉及</w:t>
            </w:r>
            <w:r>
              <w:rPr>
                <w:rFonts w:hint="eastAsia" w:eastAsia="方正仿宋简体" w:cs="（使用中文字体）"/>
                <w:b w:val="0"/>
                <w:bCs w:val="0"/>
                <w:color w:val="auto"/>
                <w:spacing w:val="6"/>
                <w:sz w:val="21"/>
                <w:szCs w:val="21"/>
                <w:highlight w:val="none"/>
                <w:u w:val="none" w:color="auto"/>
                <w:vertAlign w:val="baseline"/>
                <w:lang w:eastAsia="zh-CN"/>
              </w:rPr>
              <w:t>项目资金材料，对挂账资金中不齐全的报账材料进行补齐，同时筹备召开</w:t>
            </w:r>
            <w:r>
              <w:rPr>
                <w:rFonts w:hint="eastAsia" w:eastAsia="方正仿宋简体" w:cs="（使用中文字体）"/>
                <w:b w:val="0"/>
                <w:bCs w:val="0"/>
                <w:color w:val="auto"/>
                <w:spacing w:val="6"/>
                <w:sz w:val="21"/>
                <w:szCs w:val="21"/>
                <w:highlight w:val="none"/>
                <w:u w:val="none" w:color="auto"/>
                <w:vertAlign w:val="baseline"/>
                <w:lang w:val="en-US" w:eastAsia="zh-CN"/>
              </w:rPr>
              <w:t>涉及小组</w:t>
            </w:r>
            <w:r>
              <w:rPr>
                <w:rFonts w:hint="eastAsia" w:eastAsia="方正仿宋简体" w:cs="（使用中文字体）"/>
                <w:b w:val="0"/>
                <w:bCs w:val="0"/>
                <w:color w:val="auto"/>
                <w:spacing w:val="6"/>
                <w:sz w:val="21"/>
                <w:szCs w:val="21"/>
                <w:highlight w:val="none"/>
                <w:u w:val="none" w:color="auto"/>
                <w:vertAlign w:val="baseline"/>
                <w:lang w:eastAsia="zh-CN"/>
              </w:rPr>
              <w:t>组员大会，听取组员意见后召开多依树村村民代表大会讨论，并将会议结果相关材料报乡党委政府审议后进行账务处理。二是加大村务监督委员会职能作用发挥，加强今后对村集体“三资”的监督和管理。</w:t>
            </w:r>
          </w:p>
        </w:tc>
        <w:tc>
          <w:tcPr>
            <w:tcW w:w="1264" w:type="dxa"/>
            <w:noWrap w:val="0"/>
            <w:vAlign w:val="center"/>
          </w:tcPr>
          <w:p w14:paraId="75B2EA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5CD7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2" w:type="dxa"/>
            <w:noWrap w:val="0"/>
            <w:vAlign w:val="center"/>
          </w:tcPr>
          <w:p w14:paraId="4B812C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3</w:t>
            </w:r>
          </w:p>
        </w:tc>
        <w:tc>
          <w:tcPr>
            <w:tcW w:w="2663" w:type="dxa"/>
            <w:noWrap w:val="0"/>
            <w:vAlign w:val="center"/>
          </w:tcPr>
          <w:p w14:paraId="0CDC0D4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lang w:eastAsia="zh-CN"/>
              </w:rPr>
            </w:pPr>
            <w:r>
              <w:rPr>
                <w:rFonts w:hint="eastAsia" w:ascii="Times New Roman" w:hAnsi="Times New Roman" w:eastAsia="方正仿宋简体" w:cs="Times New Roman"/>
                <w:b w:val="0"/>
                <w:bCs/>
                <w:color w:val="auto"/>
                <w:spacing w:val="0"/>
                <w:kern w:val="2"/>
                <w:sz w:val="21"/>
                <w:szCs w:val="21"/>
                <w:highlight w:val="none"/>
                <w:u w:val="none" w:color="auto"/>
                <w:lang w:val="en-US" w:eastAsia="zh-CN" w:bidi="ar-SA"/>
              </w:rPr>
              <w:t>二、</w:t>
            </w:r>
            <w:r>
              <w:rPr>
                <w:rFonts w:hint="eastAsia" w:eastAsia="方正仿宋简体" w:cs="Times New Roman"/>
                <w:b w:val="0"/>
                <w:bCs/>
                <w:color w:val="auto"/>
                <w:spacing w:val="0"/>
                <w:kern w:val="2"/>
                <w:sz w:val="21"/>
                <w:szCs w:val="21"/>
                <w:highlight w:val="none"/>
                <w:u w:val="none" w:color="auto"/>
                <w:lang w:val="en-US" w:eastAsia="zh-CN" w:bidi="ar-SA"/>
              </w:rPr>
              <w:t>关于</w:t>
            </w:r>
            <w:r>
              <w:rPr>
                <w:rFonts w:hint="eastAsia" w:ascii="Times New Roman" w:hAnsi="Times New Roman" w:eastAsia="方正仿宋简体" w:cs="Times New Roman"/>
                <w:b w:val="0"/>
                <w:bCs/>
                <w:color w:val="auto"/>
                <w:spacing w:val="0"/>
                <w:kern w:val="2"/>
                <w:sz w:val="21"/>
                <w:szCs w:val="21"/>
                <w:highlight w:val="none"/>
                <w:u w:val="none" w:color="auto"/>
                <w:lang w:val="en-US" w:eastAsia="zh-CN" w:bidi="ar-SA"/>
              </w:rPr>
              <w:t>检查学习贯彻习近平新时代中国特色社会主义思想和党的二十大和二十届二中、三中全会精神，加强政治建设情况</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925" w:type="dxa"/>
            <w:noWrap w:val="0"/>
            <w:vAlign w:val="center"/>
          </w:tcPr>
          <w:p w14:paraId="61222BB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eastAsia" w:eastAsia="方正仿宋简体" w:cs="（使用中文字体）"/>
                <w:b w:val="0"/>
                <w:bCs w:val="0"/>
                <w:color w:val="auto"/>
                <w:spacing w:val="6"/>
                <w:sz w:val="21"/>
                <w:szCs w:val="21"/>
                <w:highlight w:val="none"/>
                <w:u w:val="none" w:color="auto"/>
                <w:vertAlign w:val="baseline"/>
                <w:lang w:val="en-US" w:eastAsia="zh-CN"/>
              </w:rPr>
              <w:t>1.不断规范</w:t>
            </w:r>
            <w:r>
              <w:rPr>
                <w:rFonts w:hint="default" w:ascii="Times New Roman" w:hAnsi="Times New Roman" w:eastAsia="方正仿宋简体" w:cs="（使用中文字体）"/>
                <w:b w:val="0"/>
                <w:bCs w:val="0"/>
                <w:color w:val="auto"/>
                <w:spacing w:val="6"/>
                <w:sz w:val="21"/>
                <w:szCs w:val="21"/>
                <w:highlight w:val="none"/>
                <w:u w:val="none" w:color="auto"/>
                <w:vertAlign w:val="baseline"/>
              </w:rPr>
              <w:t>“三务公开”更新。</w:t>
            </w:r>
          </w:p>
        </w:tc>
        <w:tc>
          <w:tcPr>
            <w:tcW w:w="6930" w:type="dxa"/>
            <w:noWrap w:val="0"/>
            <w:vAlign w:val="center"/>
          </w:tcPr>
          <w:p w14:paraId="1F1F2BB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提高思想认识，在周例会上组织村“两委”成员重点学习《村民委员会组织法》中关于村务公开的相关规定，明确公示栏作为村民了解村务、参与治理的重要渠道。二是及时补充完善信息，由村委会牵头，收集整理村民委员会组织机构相关信息，包括成员姓名、职务、分工、联系方式及组织机构框架图等，经村“两委”会议审核确认并报请乡政府审核后，统一制作规范公示牌张贴于公示栏显著位置，确保信息准确、完整、清晰。三是建立动态更新机制，村两委成员不定时对公示内容进行核查，对村民委员会组织机构发生人员调整、职责变动等情况进行公示信息更新，同时鼓励村民对信息完整性、准确性进行监督并提出意见建议。</w:t>
            </w:r>
          </w:p>
        </w:tc>
        <w:tc>
          <w:tcPr>
            <w:tcW w:w="1264" w:type="dxa"/>
            <w:noWrap w:val="0"/>
            <w:vAlign w:val="center"/>
          </w:tcPr>
          <w:p w14:paraId="57B77E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705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0380F3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4</w:t>
            </w:r>
          </w:p>
        </w:tc>
        <w:tc>
          <w:tcPr>
            <w:tcW w:w="2663" w:type="dxa"/>
            <w:vMerge w:val="restart"/>
            <w:noWrap w:val="0"/>
            <w:vAlign w:val="center"/>
          </w:tcPr>
          <w:p w14:paraId="4498D55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r>
              <w:rPr>
                <w:rFonts w:hint="eastAsia" w:eastAsia="方正仿宋简体" w:cs="方正仿宋简体"/>
                <w:b/>
                <w:bCs/>
                <w:color w:val="auto"/>
                <w:spacing w:val="6"/>
                <w:sz w:val="21"/>
                <w:szCs w:val="21"/>
                <w:highlight w:val="none"/>
                <w:u w:val="none" w:color="auto"/>
                <w:vertAlign w:val="baseline"/>
                <w:lang w:val="en-US" w:eastAsia="zh-CN"/>
              </w:rPr>
              <w:t>三、</w:t>
            </w:r>
            <w:r>
              <w:rPr>
                <w:rFonts w:hint="eastAsia" w:eastAsia="方正仿宋简体" w:cs="方正仿宋简体"/>
                <w:b w:val="0"/>
                <w:bCs w:val="0"/>
                <w:color w:val="auto"/>
                <w:spacing w:val="6"/>
                <w:sz w:val="21"/>
                <w:szCs w:val="21"/>
                <w:highlight w:val="none"/>
                <w:u w:val="none" w:color="auto"/>
                <w:vertAlign w:val="baseline"/>
                <w:lang w:val="en-US" w:eastAsia="zh-CN"/>
              </w:rPr>
              <w:t>关于</w:t>
            </w:r>
            <w:r>
              <w:rPr>
                <w:rFonts w:hint="eastAsia" w:ascii="Times New Roman" w:hAnsi="Times New Roman" w:eastAsia="方正仿宋简体" w:cs="Times New Roman"/>
                <w:b w:val="0"/>
                <w:bCs/>
                <w:color w:val="auto"/>
                <w:spacing w:val="0"/>
                <w:kern w:val="2"/>
                <w:sz w:val="21"/>
                <w:szCs w:val="21"/>
                <w:highlight w:val="none"/>
                <w:u w:val="none" w:color="auto"/>
                <w:lang w:val="en-US" w:eastAsia="zh-CN" w:bidi="ar-SA"/>
              </w:rPr>
              <w:t>检查加强党的全面领导，全面深化改革方面情况</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925" w:type="dxa"/>
            <w:noWrap w:val="0"/>
            <w:vAlign w:val="center"/>
          </w:tcPr>
          <w:p w14:paraId="79DFDE2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1.规范村级组织活动场所的“建、管、用”。</w:t>
            </w:r>
          </w:p>
        </w:tc>
        <w:tc>
          <w:tcPr>
            <w:tcW w:w="6930" w:type="dxa"/>
            <w:noWrap w:val="0"/>
            <w:vAlign w:val="center"/>
          </w:tcPr>
          <w:p w14:paraId="280EED5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一是向上争取活动室扩建与新建项目支持，对</w:t>
            </w:r>
            <w:r>
              <w:rPr>
                <w:rFonts w:hint="eastAsia" w:eastAsia="方正仿宋简体" w:cs="（使用中文字体）"/>
                <w:b w:val="0"/>
                <w:bCs w:val="0"/>
                <w:color w:val="auto"/>
                <w:spacing w:val="6"/>
                <w:sz w:val="21"/>
                <w:szCs w:val="21"/>
                <w:highlight w:val="none"/>
                <w:u w:val="none" w:color="auto"/>
                <w:vertAlign w:val="baseline"/>
                <w:lang w:val="en-US" w:eastAsia="zh-CN"/>
              </w:rPr>
              <w:t>相关</w:t>
            </w:r>
            <w:r>
              <w:rPr>
                <w:rFonts w:hint="default" w:ascii="Times New Roman" w:hAnsi="Times New Roman" w:eastAsia="方正仿宋简体" w:cs="（使用中文字体）"/>
                <w:b w:val="0"/>
                <w:bCs w:val="0"/>
                <w:color w:val="auto"/>
                <w:spacing w:val="6"/>
                <w:sz w:val="21"/>
                <w:szCs w:val="21"/>
                <w:highlight w:val="none"/>
                <w:u w:val="none" w:color="auto"/>
                <w:vertAlign w:val="baseline"/>
              </w:rPr>
              <w:t>村民小组活动室进行实地勘测，根据户数、人口规模进行分析研判，及时将项目需求上报到相关部门，多方争取项目资金支持，解决容纳不足问题。二是广泛发动群众，鼓励村民根据需求，合理运用小组集体资金进行自建，村委会积极对接乡政府争取给予技术支持。</w:t>
            </w:r>
          </w:p>
        </w:tc>
        <w:tc>
          <w:tcPr>
            <w:tcW w:w="1264" w:type="dxa"/>
            <w:noWrap w:val="0"/>
            <w:vAlign w:val="center"/>
          </w:tcPr>
          <w:p w14:paraId="02774B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8B6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55AEFC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5</w:t>
            </w:r>
          </w:p>
        </w:tc>
        <w:tc>
          <w:tcPr>
            <w:tcW w:w="2663" w:type="dxa"/>
            <w:vMerge w:val="continue"/>
            <w:noWrap w:val="0"/>
            <w:vAlign w:val="center"/>
          </w:tcPr>
          <w:p w14:paraId="414FF06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0ED6406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2.做好村级组织活动场所的“建、管、用”。</w:t>
            </w:r>
          </w:p>
        </w:tc>
        <w:tc>
          <w:tcPr>
            <w:tcW w:w="6930" w:type="dxa"/>
            <w:noWrap w:val="0"/>
            <w:vAlign w:val="center"/>
          </w:tcPr>
          <w:p w14:paraId="2DDA829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建立常态化清洁管护机制，将公用场所管护纳入村规民约，明确各组组员负责清洁本组活动室卫生，公益性岗位人员灵活调配，检查设施完好情况，每月至少一次。同时接受村民监督，对未按规定履行职责的小组进行批评教育。二是开展安全隐患排查，由村委会牵头，联合乡规划部门对各组活动室安全隐患全面排查，建立问题台账并上报乡政府，对损坏程度不大的活动室村级自行解决，对损坏较严重的活动室，积极向乡政府争取资金进行维修，维修期间设置安全警示标识，禁止村民进入。</w:t>
            </w:r>
          </w:p>
        </w:tc>
        <w:tc>
          <w:tcPr>
            <w:tcW w:w="1264" w:type="dxa"/>
            <w:noWrap w:val="0"/>
            <w:vAlign w:val="center"/>
          </w:tcPr>
          <w:p w14:paraId="210359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621E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66BA70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6</w:t>
            </w:r>
          </w:p>
        </w:tc>
        <w:tc>
          <w:tcPr>
            <w:tcW w:w="2663" w:type="dxa"/>
            <w:vMerge w:val="continue"/>
            <w:noWrap w:val="0"/>
            <w:vAlign w:val="center"/>
          </w:tcPr>
          <w:p w14:paraId="0D5DDD1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0087EDF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3.抓好控辍保学措施乏力整改。</w:t>
            </w:r>
          </w:p>
        </w:tc>
        <w:tc>
          <w:tcPr>
            <w:tcW w:w="6930" w:type="dxa"/>
            <w:noWrap w:val="0"/>
            <w:vAlign w:val="center"/>
          </w:tcPr>
          <w:p w14:paraId="7D6ECBF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积极对接，配合乡中组织村委会干部与教师组成劝返小组，针对风险学生开展入户家访，详细了解厌学逃学原因（如学业困难、家庭变故、心理问题等），邀请学校教师、乡卫生院心理辅导员介入疏导，扭转学生的消极厌学情绪。二是加强对家长、学生的宣传教育，开展各类主题宣讲，分享学习方法，优秀案例，激发学生求学动力，从根本上降低辍学风险。</w:t>
            </w:r>
          </w:p>
        </w:tc>
        <w:tc>
          <w:tcPr>
            <w:tcW w:w="1264" w:type="dxa"/>
            <w:noWrap w:val="0"/>
            <w:vAlign w:val="center"/>
          </w:tcPr>
          <w:p w14:paraId="05BF59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3120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66BDDE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7</w:t>
            </w:r>
          </w:p>
        </w:tc>
        <w:tc>
          <w:tcPr>
            <w:tcW w:w="2663" w:type="dxa"/>
            <w:vMerge w:val="continue"/>
            <w:noWrap w:val="0"/>
            <w:vAlign w:val="center"/>
          </w:tcPr>
          <w:p w14:paraId="6D022CE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7218295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4.改善人居环境，推进绿美乡村建设工作。</w:t>
            </w:r>
          </w:p>
        </w:tc>
        <w:tc>
          <w:tcPr>
            <w:tcW w:w="6930" w:type="dxa"/>
            <w:noWrap w:val="0"/>
            <w:vAlign w:val="center"/>
          </w:tcPr>
          <w:p w14:paraId="6590A8E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开展环境集中整治，村委会牵头组织党员、村民代表及各组村民，利用主题党日等活动对全村各组杂物乱堆、污水横流区域进行集中清理，统一清运垃圾、疏通污水沟。划分各组责任片区，由组内党员带头，每户至少</w:t>
            </w:r>
            <w:r>
              <w:rPr>
                <w:rFonts w:hint="eastAsia" w:eastAsia="方正仿宋简体" w:cs="（使用中文字体）"/>
                <w:b w:val="0"/>
                <w:bCs w:val="0"/>
                <w:color w:val="auto"/>
                <w:spacing w:val="6"/>
                <w:sz w:val="21"/>
                <w:szCs w:val="21"/>
                <w:highlight w:val="none"/>
                <w:u w:val="none" w:color="auto"/>
                <w:vertAlign w:val="baseline"/>
                <w:lang w:val="en-US" w:eastAsia="zh-CN"/>
              </w:rPr>
              <w:t>1</w:t>
            </w:r>
            <w:r>
              <w:rPr>
                <w:rFonts w:hint="default" w:ascii="Times New Roman" w:hAnsi="Times New Roman" w:eastAsia="方正仿宋简体" w:cs="（使用中文字体）"/>
                <w:b w:val="0"/>
                <w:bCs w:val="0"/>
                <w:color w:val="auto"/>
                <w:spacing w:val="6"/>
                <w:sz w:val="21"/>
                <w:szCs w:val="21"/>
                <w:highlight w:val="none"/>
                <w:u w:val="none" w:color="auto"/>
                <w:vertAlign w:val="baseline"/>
              </w:rPr>
              <w:t>人参与，村委会派专人检查清扫成效，确保无死角清理。二是将“门前三包”纳入村规民约，明确“包门前整洁、包无污水乱排、包无杂物堆放”责任，激发村民自主维护环境的意识。</w:t>
            </w:r>
          </w:p>
        </w:tc>
        <w:tc>
          <w:tcPr>
            <w:tcW w:w="1264" w:type="dxa"/>
            <w:noWrap w:val="0"/>
            <w:vAlign w:val="center"/>
          </w:tcPr>
          <w:p w14:paraId="70FFC2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6AF4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7B5169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8</w:t>
            </w:r>
          </w:p>
        </w:tc>
        <w:tc>
          <w:tcPr>
            <w:tcW w:w="2663" w:type="dxa"/>
            <w:vMerge w:val="continue"/>
            <w:noWrap w:val="0"/>
            <w:vAlign w:val="center"/>
          </w:tcPr>
          <w:p w14:paraId="0F7BB4A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077B7E3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5.落实防止返贫动态监测工作。</w:t>
            </w:r>
          </w:p>
        </w:tc>
        <w:tc>
          <w:tcPr>
            <w:tcW w:w="6930" w:type="dxa"/>
            <w:noWrap w:val="0"/>
            <w:vAlign w:val="center"/>
          </w:tcPr>
          <w:p w14:paraId="71BD84B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一是全面整改补齐规范档案资料，对</w:t>
            </w:r>
            <w:r>
              <w:rPr>
                <w:rFonts w:hint="eastAsia" w:eastAsia="方正仿宋简体" w:cs="（使用中文字体）"/>
                <w:b w:val="0"/>
                <w:bCs w:val="0"/>
                <w:color w:val="auto"/>
                <w:spacing w:val="6"/>
                <w:sz w:val="21"/>
                <w:szCs w:val="21"/>
                <w:highlight w:val="none"/>
                <w:u w:val="none" w:color="auto"/>
                <w:vertAlign w:val="baseline"/>
                <w:lang w:val="en-US" w:eastAsia="zh-CN"/>
              </w:rPr>
              <w:t>相关</w:t>
            </w:r>
            <w:r>
              <w:rPr>
                <w:rFonts w:hint="default" w:ascii="Times New Roman" w:hAnsi="Times New Roman" w:eastAsia="方正仿宋简体" w:cs="（使用中文字体）"/>
                <w:b w:val="0"/>
                <w:bCs w:val="0"/>
                <w:color w:val="auto"/>
                <w:spacing w:val="6"/>
                <w:sz w:val="21"/>
                <w:szCs w:val="21"/>
                <w:highlight w:val="none"/>
                <w:u w:val="none" w:color="auto"/>
                <w:vertAlign w:val="baseline"/>
              </w:rPr>
              <w:t>档案进行核查，针对</w:t>
            </w:r>
            <w:r>
              <w:rPr>
                <w:rFonts w:hint="eastAsia" w:eastAsia="方正仿宋简体" w:cs="（使用中文字体）"/>
                <w:b w:val="0"/>
                <w:bCs w:val="0"/>
                <w:color w:val="auto"/>
                <w:spacing w:val="6"/>
                <w:sz w:val="21"/>
                <w:szCs w:val="21"/>
                <w:highlight w:val="none"/>
                <w:u w:val="none" w:color="auto"/>
                <w:vertAlign w:val="baseline"/>
                <w:lang w:val="en-US" w:eastAsia="zh-CN"/>
              </w:rPr>
              <w:t>核查发现</w:t>
            </w:r>
            <w:r>
              <w:rPr>
                <w:rFonts w:hint="default" w:ascii="Times New Roman" w:hAnsi="Times New Roman" w:eastAsia="方正仿宋简体" w:cs="（使用中文字体）"/>
                <w:b w:val="0"/>
                <w:bCs w:val="0"/>
                <w:color w:val="auto"/>
                <w:spacing w:val="6"/>
                <w:sz w:val="21"/>
                <w:szCs w:val="21"/>
                <w:highlight w:val="none"/>
                <w:u w:val="none" w:color="auto"/>
                <w:vertAlign w:val="baseline"/>
              </w:rPr>
              <w:t>问题，重新梳理对应</w:t>
            </w:r>
            <w:r>
              <w:rPr>
                <w:rFonts w:hint="eastAsia" w:eastAsia="方正仿宋简体" w:cs="（使用中文字体）"/>
                <w:b w:val="0"/>
                <w:bCs w:val="0"/>
                <w:color w:val="auto"/>
                <w:spacing w:val="6"/>
                <w:sz w:val="21"/>
                <w:szCs w:val="21"/>
                <w:highlight w:val="none"/>
                <w:u w:val="none" w:color="auto"/>
                <w:vertAlign w:val="baseline"/>
                <w:lang w:val="en-US" w:eastAsia="zh-CN"/>
              </w:rPr>
              <w:t>档案材料</w:t>
            </w:r>
            <w:r>
              <w:rPr>
                <w:rFonts w:hint="default" w:ascii="Times New Roman" w:hAnsi="Times New Roman" w:eastAsia="方正仿宋简体" w:cs="（使用中文字体）"/>
                <w:b w:val="0"/>
                <w:bCs w:val="0"/>
                <w:color w:val="auto"/>
                <w:spacing w:val="6"/>
                <w:sz w:val="21"/>
                <w:szCs w:val="21"/>
                <w:highlight w:val="none"/>
                <w:u w:val="none" w:color="auto"/>
                <w:vertAlign w:val="baseline"/>
              </w:rPr>
              <w:t>，确保内容一致；所有补正资料经村“两委”成员、派驻驻村工作队、乡工作队交叉审核后存档，杜绝虚假材料。二是强化动态监测工作规范学习，利用周例会，驻村工作小课堂等方式组织村“两委”成员、小组长、驻村工作队开展业务学习，重点学习《防返贫动态监测工作指南》中关于会议组织、记录规范、档案归档等方面具体要求，并在今后严格按照工作指南要求开展防返贫动态监测工作。</w:t>
            </w:r>
          </w:p>
        </w:tc>
        <w:tc>
          <w:tcPr>
            <w:tcW w:w="1264" w:type="dxa"/>
            <w:noWrap w:val="0"/>
            <w:vAlign w:val="center"/>
          </w:tcPr>
          <w:p w14:paraId="5B6A6C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5478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5B422B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9</w:t>
            </w:r>
          </w:p>
        </w:tc>
        <w:tc>
          <w:tcPr>
            <w:tcW w:w="2663" w:type="dxa"/>
            <w:noWrap w:val="0"/>
            <w:vAlign w:val="center"/>
          </w:tcPr>
          <w:p w14:paraId="6E0C6CD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2ADE6EA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6.不断规范党旗和入党誓词悬挂。</w:t>
            </w:r>
          </w:p>
        </w:tc>
        <w:tc>
          <w:tcPr>
            <w:tcW w:w="6930" w:type="dxa"/>
            <w:noWrap w:val="0"/>
            <w:vAlign w:val="center"/>
          </w:tcPr>
          <w:p w14:paraId="72E6C1D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规范党旗与入党誓词悬挂标准，对全村党员活动室、村委会会议室等重要场所的悬挂进行整改。按照党旗规格悬挂于墙面正中位置，入党誓词采用标准排版悬挂于党旗左侧，确保两者处于显著视觉位置，庄重醒目。对排查发现有破损、褪色的党旗及誓词展板立即更换，确保无歪斜、污损情况。二是深化党性教育与意义学习，组织村党员干部学习《中国共产党党徽党旗条例》，解读党旗象征意义、入党誓词核心内涵及悬挂规范的政治要求。结合“主题党日”活动，重温入党誓词仪式，引导党员在党旗前强化身份意识与责任担当，通过村广播、公示栏宣传等方式，提升全体党员对党旗和入党誓词重要性的认识。</w:t>
            </w:r>
          </w:p>
        </w:tc>
        <w:tc>
          <w:tcPr>
            <w:tcW w:w="1264" w:type="dxa"/>
            <w:noWrap w:val="0"/>
            <w:vAlign w:val="center"/>
          </w:tcPr>
          <w:p w14:paraId="1C366E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378A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77B3A2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10</w:t>
            </w:r>
          </w:p>
        </w:tc>
        <w:tc>
          <w:tcPr>
            <w:tcW w:w="2663" w:type="dxa"/>
            <w:vMerge w:val="restart"/>
            <w:noWrap w:val="0"/>
            <w:vAlign w:val="center"/>
          </w:tcPr>
          <w:p w14:paraId="26511B9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方正仿宋简体"/>
                <w:b/>
                <w:bCs/>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四、关于检查防范化解重大风险，维护社会大局和谐稳定情况</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925" w:type="dxa"/>
            <w:noWrap w:val="0"/>
            <w:vAlign w:val="center"/>
          </w:tcPr>
          <w:p w14:paraId="305534F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1.强化矛盾纠纷隐患排查和化解，抓好群众诉求有效解决。</w:t>
            </w:r>
          </w:p>
        </w:tc>
        <w:tc>
          <w:tcPr>
            <w:tcW w:w="6930" w:type="dxa"/>
            <w:noWrap w:val="0"/>
            <w:vAlign w:val="center"/>
          </w:tcPr>
          <w:p w14:paraId="786D0B4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一是开展矛盾纠纷专题分析研判与攻坚化解，对</w:t>
            </w:r>
            <w:r>
              <w:rPr>
                <w:rFonts w:hint="eastAsia" w:eastAsia="方正仿宋简体" w:cs="（使用中文字体）"/>
                <w:b w:val="0"/>
                <w:bCs w:val="0"/>
                <w:color w:val="auto"/>
                <w:spacing w:val="6"/>
                <w:sz w:val="21"/>
                <w:szCs w:val="21"/>
                <w:highlight w:val="none"/>
                <w:u w:val="none" w:color="auto"/>
                <w:vertAlign w:val="baseline"/>
                <w:lang w:val="en-US" w:eastAsia="zh-CN"/>
              </w:rPr>
              <w:t>涉及群众较多的</w:t>
            </w:r>
            <w:r>
              <w:rPr>
                <w:rFonts w:hint="default" w:ascii="Times New Roman" w:hAnsi="Times New Roman" w:eastAsia="方正仿宋简体" w:cs="（使用中文字体）"/>
                <w:b w:val="0"/>
                <w:bCs w:val="0"/>
                <w:color w:val="auto"/>
                <w:spacing w:val="6"/>
                <w:sz w:val="21"/>
                <w:szCs w:val="21"/>
                <w:highlight w:val="none"/>
                <w:u w:val="none" w:color="auto"/>
                <w:vertAlign w:val="baseline"/>
              </w:rPr>
              <w:t>纠纷再次实地走访，详细记录</w:t>
            </w:r>
            <w:r>
              <w:rPr>
                <w:rFonts w:hint="eastAsia" w:eastAsia="方正仿宋简体" w:cs="（使用中文字体）"/>
                <w:b w:val="0"/>
                <w:bCs w:val="0"/>
                <w:color w:val="auto"/>
                <w:spacing w:val="6"/>
                <w:sz w:val="21"/>
                <w:szCs w:val="21"/>
                <w:highlight w:val="none"/>
                <w:u w:val="none" w:color="auto"/>
                <w:vertAlign w:val="baseline"/>
                <w:lang w:val="en-US" w:eastAsia="zh-CN"/>
              </w:rPr>
              <w:t>群众诉求及</w:t>
            </w:r>
            <w:r>
              <w:rPr>
                <w:rFonts w:hint="default" w:ascii="Times New Roman" w:hAnsi="Times New Roman" w:eastAsia="方正仿宋简体" w:cs="（使用中文字体）"/>
                <w:b w:val="0"/>
                <w:bCs w:val="0"/>
                <w:color w:val="auto"/>
                <w:spacing w:val="6"/>
                <w:sz w:val="21"/>
                <w:szCs w:val="21"/>
                <w:highlight w:val="none"/>
                <w:u w:val="none" w:color="auto"/>
                <w:vertAlign w:val="baseline"/>
              </w:rPr>
              <w:t>受影响群众户数。联系乡党委政府派出人员协助，组织受影响群众代表、</w:t>
            </w:r>
            <w:r>
              <w:rPr>
                <w:rFonts w:hint="eastAsia" w:eastAsia="方正仿宋简体" w:cs="（使用中文字体）"/>
                <w:b w:val="0"/>
                <w:bCs w:val="0"/>
                <w:color w:val="auto"/>
                <w:spacing w:val="6"/>
                <w:sz w:val="21"/>
                <w:szCs w:val="21"/>
                <w:highlight w:val="none"/>
                <w:u w:val="none" w:color="auto"/>
                <w:vertAlign w:val="baseline"/>
                <w:lang w:val="en-US" w:eastAsia="zh-CN"/>
              </w:rPr>
              <w:t>相关责任人</w:t>
            </w:r>
            <w:r>
              <w:rPr>
                <w:rFonts w:hint="default" w:ascii="Times New Roman" w:hAnsi="Times New Roman" w:eastAsia="方正仿宋简体" w:cs="（使用中文字体）"/>
                <w:b w:val="0"/>
                <w:bCs w:val="0"/>
                <w:color w:val="auto"/>
                <w:spacing w:val="6"/>
                <w:sz w:val="21"/>
                <w:szCs w:val="21"/>
                <w:highlight w:val="none"/>
                <w:u w:val="none" w:color="auto"/>
                <w:vertAlign w:val="baseline"/>
              </w:rPr>
              <w:t>召开协调会，梳理群众核心诉求，制定化解方案，及时跟踪进展向受影响小组公示化解动态，同步做好其他未结纠纷的逐案研判。二是联动职能部门开展评估与整改监督，立即向乡镇政府报告，协调县</w:t>
            </w:r>
            <w:r>
              <w:rPr>
                <w:rFonts w:hint="eastAsia" w:eastAsia="方正仿宋简体" w:cs="（使用中文字体）"/>
                <w:b w:val="0"/>
                <w:bCs w:val="0"/>
                <w:color w:val="auto"/>
                <w:spacing w:val="6"/>
                <w:sz w:val="21"/>
                <w:szCs w:val="21"/>
                <w:highlight w:val="none"/>
                <w:u w:val="none" w:color="auto"/>
                <w:vertAlign w:val="baseline"/>
                <w:lang w:val="en-US" w:eastAsia="zh-CN"/>
              </w:rPr>
              <w:t>级相关</w:t>
            </w:r>
            <w:r>
              <w:rPr>
                <w:rFonts w:hint="default" w:ascii="Times New Roman" w:hAnsi="Times New Roman" w:eastAsia="方正仿宋简体" w:cs="（使用中文字体）"/>
                <w:b w:val="0"/>
                <w:bCs w:val="0"/>
                <w:color w:val="auto"/>
                <w:spacing w:val="6"/>
                <w:sz w:val="21"/>
                <w:szCs w:val="21"/>
                <w:highlight w:val="none"/>
                <w:u w:val="none" w:color="auto"/>
                <w:vertAlign w:val="baseline"/>
              </w:rPr>
              <w:t>部门到实地进行联合评估；对拒不整改的，协助职能部门启动行政处罚程序。村委会全程监督整改，并邀请群众代表参与验收，从源头消除群体性事件隐患。</w:t>
            </w:r>
          </w:p>
        </w:tc>
        <w:tc>
          <w:tcPr>
            <w:tcW w:w="1264" w:type="dxa"/>
            <w:noWrap w:val="0"/>
            <w:vAlign w:val="center"/>
          </w:tcPr>
          <w:p w14:paraId="42FA65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34DE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176641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11</w:t>
            </w:r>
          </w:p>
        </w:tc>
        <w:tc>
          <w:tcPr>
            <w:tcW w:w="2663" w:type="dxa"/>
            <w:vMerge w:val="continue"/>
            <w:noWrap w:val="0"/>
            <w:vAlign w:val="center"/>
          </w:tcPr>
          <w:p w14:paraId="0C0A0A7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2E54049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2.提高对意识形态极端重要性认识。</w:t>
            </w:r>
          </w:p>
        </w:tc>
        <w:tc>
          <w:tcPr>
            <w:tcW w:w="6930" w:type="dxa"/>
            <w:noWrap w:val="0"/>
            <w:vAlign w:val="center"/>
          </w:tcPr>
          <w:p w14:paraId="7B5F601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全面更新宣传栏内容并建立长效维护机制，对全村宣传栏全面排查，重点清理与党的二十大精神、二十届二中三中全会精神不符的过时内容。对接乡行业部门，在乡级的指导下收集和整理党的二十届二中、三中全会精神相关内容图解等资料，制作统一规格的宣传展板并完成所有宣传栏更新。二是系统开展意识形态专题学习与实践活动，组织意识形态专题学习会。邀请乡宣传委员现场授课，结合“主题党日”活动，通过院坝会、田间地头微宣讲等形式，用方言向群众宣传意识形态工作的极端重要性。</w:t>
            </w:r>
          </w:p>
        </w:tc>
        <w:tc>
          <w:tcPr>
            <w:tcW w:w="1264" w:type="dxa"/>
            <w:noWrap w:val="0"/>
            <w:vAlign w:val="center"/>
          </w:tcPr>
          <w:p w14:paraId="702C477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1F0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3A9BCE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12</w:t>
            </w:r>
          </w:p>
        </w:tc>
        <w:tc>
          <w:tcPr>
            <w:tcW w:w="2663" w:type="dxa"/>
            <w:vMerge w:val="continue"/>
            <w:noWrap w:val="0"/>
            <w:vAlign w:val="center"/>
          </w:tcPr>
          <w:p w14:paraId="779A112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2C2E048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3.强化思想认识，不断提高对落实意识形态极端重要性认识。</w:t>
            </w:r>
          </w:p>
        </w:tc>
        <w:tc>
          <w:tcPr>
            <w:tcW w:w="6930" w:type="dxa"/>
            <w:noWrap w:val="0"/>
            <w:vAlign w:val="center"/>
          </w:tcPr>
          <w:p w14:paraId="4A35C1C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集中开展残留标语清除，由村“两委”牵头，组织多依树6组党员、村民代表，3个工作日内完成该组外墙脱贫攻坚标语的彻底清除。二是全面排查其他小组，常态化整改，组织村干部逐组开展“拉网式”排查，对全村所有公共区域的标语进行检查，对排查出的其他过时标语，参照多依树6组清理标准完成清除；同时，建立“常态化巡查+村民监督”机制，不定时检查辖区标语情况，村民发现残留过时标语可到村委会反映确保问题及时整改，防止反弹。</w:t>
            </w:r>
          </w:p>
        </w:tc>
        <w:tc>
          <w:tcPr>
            <w:tcW w:w="1264" w:type="dxa"/>
            <w:noWrap w:val="0"/>
            <w:vAlign w:val="center"/>
          </w:tcPr>
          <w:p w14:paraId="4D2D22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6BFF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52C1AE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13</w:t>
            </w:r>
          </w:p>
        </w:tc>
        <w:tc>
          <w:tcPr>
            <w:tcW w:w="2663" w:type="dxa"/>
            <w:noWrap w:val="0"/>
            <w:vAlign w:val="center"/>
          </w:tcPr>
          <w:p w14:paraId="58AA324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79D335E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4.抓实抓好落实意识形态工作。</w:t>
            </w:r>
          </w:p>
        </w:tc>
        <w:tc>
          <w:tcPr>
            <w:tcW w:w="6930" w:type="dxa"/>
            <w:noWrap w:val="0"/>
            <w:vAlign w:val="center"/>
          </w:tcPr>
          <w:p w14:paraId="1D0CAFB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一是对村级应急广播终端机房进行全面清理整治，明确专人负责定期对机房设备、环境进行巡查，规范物品摆放，进行清扫和保洁。多依树村已按照要求设立独立机房，明确专人管理。</w:t>
            </w:r>
          </w:p>
        </w:tc>
        <w:tc>
          <w:tcPr>
            <w:tcW w:w="1264" w:type="dxa"/>
            <w:noWrap w:val="0"/>
            <w:vAlign w:val="center"/>
          </w:tcPr>
          <w:p w14:paraId="17DE9C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69E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38FC1E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14</w:t>
            </w:r>
          </w:p>
        </w:tc>
        <w:tc>
          <w:tcPr>
            <w:tcW w:w="2663" w:type="dxa"/>
            <w:noWrap w:val="0"/>
            <w:vAlign w:val="center"/>
          </w:tcPr>
          <w:p w14:paraId="6D5EE4C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方正仿宋简体"/>
                <w:b/>
                <w:bCs/>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五、关于检查落实全面从严治党责任、推进党风廉政建设和反腐败斗争方面情况</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925" w:type="dxa"/>
            <w:noWrap w:val="0"/>
            <w:vAlign w:val="center"/>
          </w:tcPr>
          <w:p w14:paraId="00657FE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1.落实全面从严治党责任，规范管理党员教育。</w:t>
            </w:r>
          </w:p>
        </w:tc>
        <w:tc>
          <w:tcPr>
            <w:tcW w:w="6930" w:type="dxa"/>
            <w:noWrap w:val="0"/>
            <w:vAlign w:val="center"/>
          </w:tcPr>
          <w:p w14:paraId="38FB9C1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强化日常管理与行为劝导引导，通过微信、入户走访等方式提醒党员严守纪律法规，重点在节假日、婚丧嫁娶等易发生酒驾的时段进行前置劝导。二是深化警示教育与党规党纪学习，组织党员集中观看酒驾、非法持有枪支案例警示教育片，邀请乡纪委解读《中国共产党纪律处分条例》中关于违法犯罪行为的处分规定，结合案例分析“酒驾入刑”“枪支管理法”等法律后果，使党员认识到“违纪必受惩、违法必追究”的底线。</w:t>
            </w:r>
          </w:p>
        </w:tc>
        <w:tc>
          <w:tcPr>
            <w:tcW w:w="1264" w:type="dxa"/>
            <w:noWrap w:val="0"/>
            <w:vAlign w:val="center"/>
          </w:tcPr>
          <w:p w14:paraId="396A1F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130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32" w:type="dxa"/>
            <w:noWrap w:val="0"/>
            <w:vAlign w:val="center"/>
          </w:tcPr>
          <w:p w14:paraId="018D1F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15</w:t>
            </w:r>
          </w:p>
        </w:tc>
        <w:tc>
          <w:tcPr>
            <w:tcW w:w="2663" w:type="dxa"/>
            <w:vMerge w:val="restart"/>
            <w:noWrap w:val="0"/>
            <w:vAlign w:val="center"/>
          </w:tcPr>
          <w:p w14:paraId="292206E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方正仿宋简体"/>
                <w:b/>
                <w:bCs/>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六、关于检查加强廉洁风险防控，落实中央八项规定精神情况</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925" w:type="dxa"/>
            <w:noWrap w:val="0"/>
            <w:vAlign w:val="center"/>
          </w:tcPr>
          <w:p w14:paraId="484D2F4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1.严格规范资金支出审批支出。</w:t>
            </w:r>
          </w:p>
        </w:tc>
        <w:tc>
          <w:tcPr>
            <w:tcW w:w="6930" w:type="dxa"/>
            <w:noWrap w:val="0"/>
            <w:vAlign w:val="center"/>
          </w:tcPr>
          <w:p w14:paraId="6C3338C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一是对</w:t>
            </w:r>
            <w:r>
              <w:rPr>
                <w:rFonts w:hint="eastAsia" w:eastAsia="方正仿宋简体" w:cs="（使用中文字体）"/>
                <w:b w:val="0"/>
                <w:bCs w:val="0"/>
                <w:color w:val="auto"/>
                <w:spacing w:val="6"/>
                <w:sz w:val="21"/>
                <w:szCs w:val="21"/>
                <w:highlight w:val="none"/>
                <w:u w:val="none" w:color="auto"/>
                <w:vertAlign w:val="baseline"/>
                <w:lang w:val="en-US" w:eastAsia="zh-CN"/>
              </w:rPr>
              <w:t>相关</w:t>
            </w:r>
            <w:r>
              <w:rPr>
                <w:rFonts w:hint="default" w:ascii="Times New Roman" w:hAnsi="Times New Roman" w:eastAsia="方正仿宋简体" w:cs="（使用中文字体）"/>
                <w:b w:val="0"/>
                <w:bCs w:val="0"/>
                <w:color w:val="auto"/>
                <w:spacing w:val="6"/>
                <w:sz w:val="21"/>
                <w:szCs w:val="21"/>
                <w:highlight w:val="none"/>
                <w:u w:val="none" w:color="auto"/>
                <w:vertAlign w:val="baseline"/>
              </w:rPr>
              <w:t>费</w:t>
            </w:r>
            <w:r>
              <w:rPr>
                <w:rFonts w:hint="eastAsia" w:eastAsia="方正仿宋简体" w:cs="（使用中文字体）"/>
                <w:b w:val="0"/>
                <w:bCs w:val="0"/>
                <w:color w:val="auto"/>
                <w:spacing w:val="6"/>
                <w:sz w:val="21"/>
                <w:szCs w:val="21"/>
                <w:highlight w:val="none"/>
                <w:u w:val="none" w:color="auto"/>
                <w:vertAlign w:val="baseline"/>
                <w:lang w:val="en-US" w:eastAsia="zh-CN"/>
              </w:rPr>
              <w:t>用</w:t>
            </w:r>
            <w:r>
              <w:rPr>
                <w:rFonts w:hint="default" w:ascii="Times New Roman" w:hAnsi="Times New Roman" w:eastAsia="方正仿宋简体" w:cs="（使用中文字体）"/>
                <w:b w:val="0"/>
                <w:bCs w:val="0"/>
                <w:color w:val="auto"/>
                <w:spacing w:val="6"/>
                <w:sz w:val="21"/>
                <w:szCs w:val="21"/>
                <w:highlight w:val="none"/>
                <w:u w:val="none" w:color="auto"/>
                <w:vertAlign w:val="baseline"/>
              </w:rPr>
              <w:t>支出的溯源核实，联系</w:t>
            </w:r>
            <w:r>
              <w:rPr>
                <w:rFonts w:hint="eastAsia" w:eastAsia="方正仿宋简体" w:cs="（使用中文字体）"/>
                <w:b w:val="0"/>
                <w:bCs w:val="0"/>
                <w:color w:val="auto"/>
                <w:spacing w:val="6"/>
                <w:sz w:val="21"/>
                <w:szCs w:val="21"/>
                <w:highlight w:val="none"/>
                <w:u w:val="none" w:color="auto"/>
                <w:vertAlign w:val="baseline"/>
                <w:lang w:val="en-US" w:eastAsia="zh-CN"/>
              </w:rPr>
              <w:t>当事人</w:t>
            </w:r>
            <w:r>
              <w:rPr>
                <w:rFonts w:hint="default" w:ascii="Times New Roman" w:hAnsi="Times New Roman" w:eastAsia="方正仿宋简体" w:cs="（使用中文字体）"/>
                <w:b w:val="0"/>
                <w:bCs w:val="0"/>
                <w:color w:val="auto"/>
                <w:spacing w:val="6"/>
                <w:sz w:val="21"/>
                <w:szCs w:val="21"/>
                <w:highlight w:val="none"/>
                <w:u w:val="none" w:color="auto"/>
                <w:vertAlign w:val="baseline"/>
              </w:rPr>
              <w:t>获取原始明细，同时由当时参与下组、会议、疫情防控工作的村干部回忆并补填《工作用餐人员名册》，注明用餐事由、时间、参与人数及具体人员姓名，补充签到表，所有材料报村财乡管工作人员确认后归档，形成完整支出凭证链。二是强化资金支付全流程监管，严格按照村级工作经费使用管理相关规定进行资金支付、报账，村务监督委员会加强监管，不定期对经费使用情况进行检查。</w:t>
            </w:r>
          </w:p>
        </w:tc>
        <w:tc>
          <w:tcPr>
            <w:tcW w:w="1264" w:type="dxa"/>
            <w:noWrap w:val="0"/>
            <w:vAlign w:val="center"/>
          </w:tcPr>
          <w:p w14:paraId="77B394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6D6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2D3BDB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16</w:t>
            </w:r>
          </w:p>
        </w:tc>
        <w:tc>
          <w:tcPr>
            <w:tcW w:w="2663" w:type="dxa"/>
            <w:vMerge w:val="continue"/>
            <w:noWrap w:val="0"/>
            <w:vAlign w:val="center"/>
          </w:tcPr>
          <w:p w14:paraId="5837A63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612DA06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2.落实农村供水工程水费收缴管理办法。</w:t>
            </w:r>
          </w:p>
        </w:tc>
        <w:tc>
          <w:tcPr>
            <w:tcW w:w="6930" w:type="dxa"/>
            <w:noWrap w:val="0"/>
            <w:vAlign w:val="center"/>
          </w:tcPr>
          <w:p w14:paraId="7E725E3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严格执行水费入账制度，全面排查各用水小组水费收缴情况，与乡镇财政所对接，将各村民小组现存水费资金全额上缴至“村代管”专用账户，终止小组自行管理模式。明确各小组每半年一次将半年水费收缴明细报村委会审核（因水费半年收一次），村委会核对无误后统一汇总上缴资金，确保每笔水费收支都纳入“村代管”监管体系，杜绝坐收坐支。二是全面规范水费管理机制，建立“收缴-公示-使用”全流程管理制度，各小组指定1名水费收缴员，每半年将收缴清单报村委会，村委会在村公示栏及各小组公告点同步公示，确保水费管理公开透明、合规高效。</w:t>
            </w:r>
          </w:p>
        </w:tc>
        <w:tc>
          <w:tcPr>
            <w:tcW w:w="1264" w:type="dxa"/>
            <w:noWrap w:val="0"/>
            <w:vAlign w:val="center"/>
          </w:tcPr>
          <w:p w14:paraId="44ED5B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637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7C3607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17</w:t>
            </w:r>
          </w:p>
        </w:tc>
        <w:tc>
          <w:tcPr>
            <w:tcW w:w="2663" w:type="dxa"/>
            <w:noWrap w:val="0"/>
            <w:vAlign w:val="center"/>
          </w:tcPr>
          <w:p w14:paraId="73672D6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七、关于检查基层党组织领导班子和干部队伍建设情况</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925" w:type="dxa"/>
            <w:noWrap w:val="0"/>
            <w:vAlign w:val="center"/>
          </w:tcPr>
          <w:p w14:paraId="2B25617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1.指导好下设支部督促指导。</w:t>
            </w:r>
          </w:p>
        </w:tc>
        <w:tc>
          <w:tcPr>
            <w:tcW w:w="6930" w:type="dxa"/>
            <w:noWrap w:val="0"/>
            <w:vAlign w:val="center"/>
          </w:tcPr>
          <w:p w14:paraId="620E793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强化谈心谈话流程规范与跟踪指导，明确要求个人谈心谈话须“一对一、面对面”进行。二是专题讲解组织生活会流程规范，提高党支部工作能力，对仍存在模板化、集体代替个人问题的支部，由村党总支书记、主任约谈党支部书记并限期整改，整改情况与支部分类定级挂钩。</w:t>
            </w:r>
          </w:p>
        </w:tc>
        <w:tc>
          <w:tcPr>
            <w:tcW w:w="1264" w:type="dxa"/>
            <w:noWrap w:val="0"/>
            <w:vAlign w:val="center"/>
          </w:tcPr>
          <w:p w14:paraId="2ADF3C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D7E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5550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18</w:t>
            </w:r>
          </w:p>
        </w:tc>
        <w:tc>
          <w:tcPr>
            <w:tcW w:w="2663" w:type="dxa"/>
            <w:vMerge w:val="restart"/>
            <w:noWrap w:val="0"/>
            <w:vAlign w:val="center"/>
          </w:tcPr>
          <w:p w14:paraId="463A20B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七、关于检查基层党组织领导班子和干部队伍建设情况</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925" w:type="dxa"/>
            <w:noWrap w:val="0"/>
            <w:vAlign w:val="center"/>
          </w:tcPr>
          <w:p w14:paraId="764590A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2.强化党务基础知识培训，提高对组织生活会流程熟悉。</w:t>
            </w:r>
          </w:p>
        </w:tc>
        <w:tc>
          <w:tcPr>
            <w:tcW w:w="6930" w:type="dxa"/>
            <w:noWrap w:val="0"/>
            <w:vAlign w:val="center"/>
          </w:tcPr>
          <w:p w14:paraId="06FB8A5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规范组织生活会全流程，加强对未来组织生活会流程进行“会前预审、会中监督、会后跟踪”管理，会前认真审核会议方案、对照检查材料是否符合规范，重点检查民主评议范围是否覆盖全体党员、谈心谈话记录是否“一对一”开展；会后跟踪整改落实情况，将民主评议结果与党员积分管理挂钩，对整改不力的党员进行约谈提醒。二是系统化提升党务能力，强化流程规范。线上线下相结合，通过邀请乡组织委员授课，微信、抖音等APP不定期推送组织生活会流程图解、典型案例视频等方式，帮助党员利用碎片化时间学习。</w:t>
            </w:r>
          </w:p>
        </w:tc>
        <w:tc>
          <w:tcPr>
            <w:tcW w:w="1264" w:type="dxa"/>
            <w:noWrap w:val="0"/>
            <w:vAlign w:val="center"/>
          </w:tcPr>
          <w:p w14:paraId="3B73C6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802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6F396D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19</w:t>
            </w:r>
          </w:p>
        </w:tc>
        <w:tc>
          <w:tcPr>
            <w:tcW w:w="2663" w:type="dxa"/>
            <w:vMerge w:val="continue"/>
            <w:noWrap w:val="0"/>
            <w:vAlign w:val="center"/>
          </w:tcPr>
          <w:p w14:paraId="14ED01B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500B328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3.不断提高后备干部队伍建设思考及教育引导。</w:t>
            </w:r>
          </w:p>
        </w:tc>
        <w:tc>
          <w:tcPr>
            <w:tcW w:w="6930" w:type="dxa"/>
            <w:noWrap w:val="0"/>
            <w:vAlign w:val="center"/>
          </w:tcPr>
          <w:p w14:paraId="308A29F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加强本地人才培养，动态掌握返乡大学生、外出务工经商人员、退役军人、致富带头人、农村实用人才等类别的农村优秀人才，筛选潜力人选进行培养锻炼，并进行动态评估、调整，充实村干部后备力量，杜绝再次出现岗位长期空缺的情况。二是村党总支书记、主任通过日常谈话、走访、思想教育等方式及时掌握村干部思想动态。三是结合村委委员岗位频繁调整的情况，组织班子成员深入学习新时代基层干部队伍建设要求，将后备干部队伍建设纳入村党总支年度重点工作任务，压实思想认识与政治责任。</w:t>
            </w:r>
          </w:p>
        </w:tc>
        <w:tc>
          <w:tcPr>
            <w:tcW w:w="1264" w:type="dxa"/>
            <w:noWrap w:val="0"/>
            <w:vAlign w:val="center"/>
          </w:tcPr>
          <w:p w14:paraId="6EA450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3B5B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405AB3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20</w:t>
            </w:r>
          </w:p>
        </w:tc>
        <w:tc>
          <w:tcPr>
            <w:tcW w:w="2663" w:type="dxa"/>
            <w:vMerge w:val="continue"/>
            <w:noWrap w:val="0"/>
            <w:vAlign w:val="center"/>
          </w:tcPr>
          <w:p w14:paraId="6EE5329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503C1B1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4.不断推进议事规范，完善会议记录。</w:t>
            </w:r>
          </w:p>
        </w:tc>
        <w:tc>
          <w:tcPr>
            <w:tcW w:w="6930" w:type="dxa"/>
            <w:noWrap w:val="0"/>
            <w:vAlign w:val="center"/>
          </w:tcPr>
          <w:p w14:paraId="5E276BA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规范会议记录专人专本管理，分别指定专人记录村党总支会议、村委会会议。记录内容需包含会议时间、地点、参会人员（签到）、议题、发言要点、表决结果、决议事项及落实责任人、时限等要素，会后由记录员整理完善，经村党总支书记、主任审核后存档，严禁个人零散记录替代。二是建立记录监督与复盘机制，每月由村监委对上月会议记录本进行检查，重点核查记录完整性、决议事项明确性，对缺漏项责令记录员</w:t>
            </w:r>
            <w:r>
              <w:rPr>
                <w:rFonts w:hint="eastAsia" w:eastAsia="方正仿宋简体" w:cs="（使用中文字体）"/>
                <w:b w:val="0"/>
                <w:bCs w:val="0"/>
                <w:color w:val="auto"/>
                <w:spacing w:val="6"/>
                <w:sz w:val="21"/>
                <w:szCs w:val="21"/>
                <w:highlight w:val="none"/>
                <w:u w:val="none" w:color="auto"/>
                <w:vertAlign w:val="baseline"/>
                <w:lang w:val="en-US" w:eastAsia="zh-CN"/>
              </w:rPr>
              <w:t>3</w:t>
            </w:r>
            <w:r>
              <w:rPr>
                <w:rFonts w:hint="default" w:ascii="Times New Roman" w:hAnsi="Times New Roman" w:eastAsia="方正仿宋简体" w:cs="（使用中文字体）"/>
                <w:b w:val="0"/>
                <w:bCs w:val="0"/>
                <w:color w:val="auto"/>
                <w:spacing w:val="6"/>
                <w:sz w:val="21"/>
                <w:szCs w:val="21"/>
                <w:highlight w:val="none"/>
                <w:u w:val="none" w:color="auto"/>
                <w:vertAlign w:val="baseline"/>
              </w:rPr>
              <w:t>日内补正，记录本实行年度归档制度，由村档案室专柜存放，确保可随时追溯查阅。</w:t>
            </w:r>
          </w:p>
        </w:tc>
        <w:tc>
          <w:tcPr>
            <w:tcW w:w="1264" w:type="dxa"/>
            <w:noWrap w:val="0"/>
            <w:vAlign w:val="center"/>
          </w:tcPr>
          <w:p w14:paraId="45018C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381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332" w:type="dxa"/>
            <w:noWrap w:val="0"/>
            <w:vAlign w:val="center"/>
          </w:tcPr>
          <w:p w14:paraId="390B5C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21</w:t>
            </w:r>
          </w:p>
        </w:tc>
        <w:tc>
          <w:tcPr>
            <w:tcW w:w="2663" w:type="dxa"/>
            <w:vMerge w:val="continue"/>
            <w:noWrap w:val="0"/>
            <w:vAlign w:val="center"/>
          </w:tcPr>
          <w:p w14:paraId="311DE8B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方正仿宋简体"/>
                <w:b/>
                <w:bCs/>
                <w:color w:val="auto"/>
                <w:spacing w:val="6"/>
                <w:sz w:val="21"/>
                <w:szCs w:val="21"/>
                <w:highlight w:val="none"/>
                <w:u w:val="none" w:color="auto"/>
                <w:vertAlign w:val="baseline"/>
                <w:lang w:val="en-US" w:eastAsia="zh-CN"/>
              </w:rPr>
            </w:pPr>
          </w:p>
        </w:tc>
        <w:tc>
          <w:tcPr>
            <w:tcW w:w="2925" w:type="dxa"/>
            <w:noWrap w:val="0"/>
            <w:vAlign w:val="center"/>
          </w:tcPr>
          <w:p w14:paraId="51607A9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5.解决好群众“急难愁盼”问题整改。</w:t>
            </w:r>
          </w:p>
        </w:tc>
        <w:tc>
          <w:tcPr>
            <w:tcW w:w="6930" w:type="dxa"/>
            <w:noWrap w:val="0"/>
            <w:vAlign w:val="center"/>
          </w:tcPr>
          <w:p w14:paraId="5CC4925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开展灌溉管网损坏部分排查，村委会牵头，请乡水务办支持，对产业扶持项目灌溉管网进行全面排查，详细记录损坏给水栓位置、数量及管网堵塞点，形成《问题清单》，根据清单制定修复方案，并向上级争取项目资金进行管网修复。二是明确管网覆盖各片区由村民小组长担任管护员，负责日常巡查管网运行状态，发现损坏及时上报，通过常态化走访，群众座谈会等时机，听取群众意见建议，接受群众监督，确保问题早发现、早解决，避免类似诉求积压。</w:t>
            </w:r>
          </w:p>
        </w:tc>
        <w:tc>
          <w:tcPr>
            <w:tcW w:w="1264" w:type="dxa"/>
            <w:noWrap w:val="0"/>
            <w:vAlign w:val="center"/>
          </w:tcPr>
          <w:p w14:paraId="6BDE65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bl>
    <w:p w14:paraId="588CC0CB"/>
    <w:p w14:paraId="0606B12B">
      <w:pPr>
        <w:pStyle w:val="9"/>
        <w:rPr>
          <w:rFonts w:hint="eastAsia" w:ascii="Times New Roman" w:hAnsi="Times New Roman" w:eastAsia="方正仿宋简体" w:cs="Times New Roman"/>
          <w:lang w:eastAsia="zh-CN"/>
        </w:rPr>
      </w:pPr>
    </w:p>
    <w:p w14:paraId="104CE912">
      <w:pPr>
        <w:pStyle w:val="9"/>
        <w:rPr>
          <w:rFonts w:hint="eastAsia" w:ascii="Times New Roman" w:hAnsi="Times New Roman" w:eastAsia="方正仿宋简体" w:cs="Times New Roman"/>
          <w:lang w:eastAsia="zh-CN"/>
        </w:rPr>
      </w:pPr>
    </w:p>
    <w:p w14:paraId="0D4FFE6B">
      <w:pPr>
        <w:pStyle w:val="9"/>
        <w:rPr>
          <w:rFonts w:hint="eastAsia" w:ascii="Times New Roman" w:hAnsi="Times New Roman" w:eastAsia="方正仿宋简体" w:cs="Times New Roman"/>
          <w:lang w:eastAsia="zh-CN"/>
        </w:rPr>
      </w:pPr>
    </w:p>
    <w:p w14:paraId="4ECDB04F">
      <w:pPr>
        <w:pStyle w:val="9"/>
        <w:rPr>
          <w:rFonts w:hint="eastAsia" w:ascii="Times New Roman" w:hAnsi="Times New Roman" w:eastAsia="方正仿宋简体" w:cs="Times New Roman"/>
          <w:lang w:eastAsia="zh-CN"/>
        </w:rPr>
      </w:pPr>
    </w:p>
    <w:p w14:paraId="0D5B2C31">
      <w:pPr>
        <w:pStyle w:val="9"/>
        <w:rPr>
          <w:rFonts w:hint="eastAsia" w:ascii="Times New Roman" w:hAnsi="Times New Roman" w:eastAsia="方正仿宋简体" w:cs="Times New Roman"/>
          <w:lang w:eastAsia="zh-CN"/>
        </w:rPr>
      </w:pPr>
    </w:p>
    <w:p w14:paraId="036C2624">
      <w:pPr>
        <w:pStyle w:val="9"/>
        <w:rPr>
          <w:rFonts w:hint="eastAsia" w:ascii="Times New Roman" w:hAnsi="Times New Roman" w:eastAsia="方正仿宋简体" w:cs="Times New Roman"/>
          <w:lang w:eastAsia="zh-CN"/>
        </w:rPr>
      </w:pPr>
    </w:p>
    <w:p w14:paraId="349851C9">
      <w:pPr>
        <w:pStyle w:val="9"/>
        <w:rPr>
          <w:rFonts w:hint="eastAsia" w:ascii="Times New Roman" w:hAnsi="Times New Roman" w:eastAsia="方正仿宋简体" w:cs="Times New Roman"/>
          <w:lang w:eastAsia="zh-CN"/>
        </w:rPr>
      </w:pPr>
    </w:p>
    <w:p w14:paraId="4A45788C">
      <w:pPr>
        <w:pStyle w:val="9"/>
        <w:rPr>
          <w:rFonts w:hint="eastAsia" w:ascii="Times New Roman" w:hAnsi="Times New Roman" w:eastAsia="方正仿宋简体" w:cs="Times New Roman"/>
          <w:lang w:eastAsia="zh-CN"/>
        </w:rPr>
      </w:pPr>
    </w:p>
    <w:p w14:paraId="6AC8C85F">
      <w:pPr>
        <w:pStyle w:val="9"/>
        <w:rPr>
          <w:rFonts w:hint="eastAsia" w:ascii="Times New Roman" w:hAnsi="Times New Roman" w:eastAsia="方正仿宋简体" w:cs="Times New Roman"/>
          <w:lang w:eastAsia="zh-CN"/>
        </w:rPr>
      </w:pPr>
    </w:p>
    <w:p w14:paraId="3595FDD8">
      <w:pPr>
        <w:pStyle w:val="9"/>
        <w:rPr>
          <w:rFonts w:hint="eastAsia" w:ascii="Times New Roman" w:hAnsi="Times New Roman" w:eastAsia="方正仿宋简体" w:cs="Times New Roman"/>
          <w:lang w:eastAsia="zh-CN"/>
        </w:rPr>
      </w:pPr>
    </w:p>
    <w:p w14:paraId="23A3DD87">
      <w:pPr>
        <w:pStyle w:val="9"/>
        <w:rPr>
          <w:rFonts w:hint="eastAsia" w:ascii="Times New Roman" w:hAnsi="Times New Roman" w:eastAsia="方正仿宋简体" w:cs="Times New Roman"/>
          <w:lang w:eastAsia="zh-CN"/>
        </w:rPr>
      </w:pPr>
    </w:p>
    <w:p w14:paraId="2EC1D2DF">
      <w:pPr>
        <w:pStyle w:val="9"/>
        <w:rPr>
          <w:rFonts w:hint="eastAsia" w:ascii="Times New Roman" w:hAnsi="Times New Roman" w:eastAsia="方正仿宋简体" w:cs="Times New Roman"/>
          <w:lang w:eastAsia="zh-CN"/>
        </w:rPr>
      </w:pPr>
    </w:p>
    <w:p w14:paraId="71318116">
      <w:pPr>
        <w:pStyle w:val="9"/>
        <w:rPr>
          <w:rFonts w:hint="eastAsia" w:ascii="Times New Roman" w:hAnsi="Times New Roman" w:eastAsia="方正仿宋简体" w:cs="Times New Roman"/>
          <w:lang w:eastAsia="zh-CN"/>
        </w:rPr>
      </w:pPr>
    </w:p>
    <w:p w14:paraId="41FDCAD3">
      <w:pPr>
        <w:pStyle w:val="9"/>
        <w:rPr>
          <w:rFonts w:hint="eastAsia" w:ascii="Times New Roman" w:hAnsi="Times New Roman" w:eastAsia="方正仿宋简体" w:cs="Times New Roman"/>
          <w:lang w:eastAsia="zh-CN"/>
        </w:rPr>
      </w:pPr>
    </w:p>
    <w:p w14:paraId="70A56239">
      <w:pPr>
        <w:pStyle w:val="9"/>
        <w:rPr>
          <w:rFonts w:hint="eastAsia" w:ascii="Times New Roman" w:hAnsi="Times New Roman" w:eastAsia="方正仿宋简体" w:cs="Times New Roman"/>
          <w:lang w:eastAsia="zh-CN"/>
        </w:rPr>
      </w:pPr>
    </w:p>
    <w:p w14:paraId="08AB6CE6">
      <w:pPr>
        <w:pStyle w:val="9"/>
        <w:rPr>
          <w:rFonts w:hint="eastAsia" w:ascii="Times New Roman" w:hAnsi="Times New Roman" w:eastAsia="方正仿宋简体" w:cs="Times New Roman"/>
          <w:lang w:eastAsia="zh-CN"/>
        </w:rPr>
      </w:pPr>
    </w:p>
    <w:p w14:paraId="31F84A08">
      <w:pPr>
        <w:pStyle w:val="9"/>
        <w:rPr>
          <w:rFonts w:hint="eastAsia" w:ascii="Times New Roman" w:hAnsi="Times New Roman" w:eastAsia="方正仿宋简体" w:cs="Times New Roman"/>
          <w:lang w:eastAsia="zh-CN"/>
        </w:rPr>
      </w:pPr>
    </w:p>
    <w:p w14:paraId="051AD316"/>
    <w:sectPr>
      <w:footerReference r:id="rId3" w:type="default"/>
      <w:pgSz w:w="16838" w:h="11906" w:orient="landscape"/>
      <w:pgMar w:top="1587" w:right="2211" w:bottom="1474" w:left="187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方正仿宋简体">
    <w:altName w:val="微软雅黑"/>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使用中文字体）">
    <w:altName w:val="yyb"/>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yyb">
    <w:panose1 w:val="020B0200000000000000"/>
    <w:charset w:val="86"/>
    <w:family w:val="auto"/>
    <w:pitch w:val="default"/>
    <w:sig w:usb0="20000083" w:usb1="10000000" w:usb2="00000016" w:usb3="00000000" w:csb0="600601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48AD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1E023">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E1E023">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DF8162"/>
    <w:multiLevelType w:val="singleLevel"/>
    <w:tmpl w:val="EBDF8162"/>
    <w:lvl w:ilvl="0" w:tentative="0">
      <w:start w:val="1"/>
      <w:numFmt w:val="chineseCounting"/>
      <w:pStyle w:val="2"/>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D4E8C"/>
    <w:rsid w:val="074D4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unhideWhenUsed/>
    <w:qFormat/>
    <w:uiPriority w:val="0"/>
    <w:pPr>
      <w:keepNext/>
      <w:keepLines/>
      <w:widowControl w:val="0"/>
      <w:numPr>
        <w:ilvl w:val="0"/>
        <w:numId w:val="1"/>
      </w:numPr>
      <w:spacing w:line="560" w:lineRule="exact"/>
      <w:ind w:firstLine="880" w:firstLineChars="200"/>
      <w:jc w:val="both"/>
      <w:outlineLvl w:val="1"/>
    </w:pPr>
    <w:rPr>
      <w:rFonts w:ascii="Times New Roman" w:hAnsi="Times New Roman" w:eastAsia="方正楷体简体" w:cs="Times New Roman"/>
      <w:kern w:val="2"/>
      <w:sz w:val="34"/>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2"/>
    <w:qFormat/>
    <w:uiPriority w:val="0"/>
    <w:pPr>
      <w:widowControl w:val="0"/>
      <w:spacing w:after="120" w:afterLines="0" w:afterAutospacing="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jc w:val="left"/>
    </w:pPr>
    <w:rPr>
      <w:kern w:val="0"/>
      <w:sz w:val="24"/>
      <w:szCs w:val="24"/>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Normal Indent1"/>
    <w:basedOn w:val="10"/>
    <w:qFormat/>
    <w:uiPriority w:val="0"/>
    <w:pPr>
      <w:ind w:firstLine="420" w:firstLineChars="200"/>
    </w:pPr>
  </w:style>
  <w:style w:type="paragraph" w:customStyle="1" w:styleId="10">
    <w:name w:val="正文 New New New"/>
    <w:next w:val="9"/>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2026-09-03T06:22:00Z</dcterms:created>
  <dc:creator>在水一方</dc:creator>
  <cp:lastModifiedBy>在水一方</cp:lastModifiedBy>
  <dcterms:modified xsi:type="dcterms:W3CDTF">2026-09-03T06:25:52Z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2B8B317CEDB849D99E78027D7CFE9239_11</vt:lpwstr>
  </property>
  <property fmtid="{D5CDD505-2E9C-101B-9397-08002B2CF9AE}" pid="4" name="KSOTemplateDocerSaveRecord">
    <vt:lpwstr>eyJoZGlkIjoiZjVkZGY1M2E5OTE3ZDk1MzRmZjIzNDNkMTIxMTcxYmIiLCJ1c2VySWQiOiI0NjM0MDM3NDMifQ==</vt:lpwstr>
  </property>
</Properties>
</file>