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70"/>
        <w:gridCol w:w="5992"/>
        <w:gridCol w:w="1659"/>
        <w:gridCol w:w="1601"/>
        <w:gridCol w:w="1327"/>
        <w:gridCol w:w="991"/>
      </w:tblGrid>
      <w:tr w14:paraId="7D2E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3170" w:type="dxa"/>
            <w:tcBorders>
              <w:top w:val="nil"/>
              <w:left w:val="nil"/>
              <w:bottom w:val="nil"/>
              <w:right w:val="nil"/>
            </w:tcBorders>
            <w:noWrap w:val="0"/>
            <w:vAlign w:val="center"/>
          </w:tcPr>
          <w:p w14:paraId="0B118FB3">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bookmarkStart w:id="0" w:name="_GoBack"/>
            <w:r>
              <w:rPr>
                <w:rStyle w:val="9"/>
                <w:lang w:val="en-US" w:eastAsia="zh-CN" w:bidi="ar"/>
              </w:rPr>
              <w:t>附件</w:t>
            </w:r>
            <w:r>
              <w:rPr>
                <w:rFonts w:hint="default" w:ascii="Times New Roman" w:hAnsi="Times New Roman" w:eastAsia="宋体" w:cs="Times New Roman"/>
                <w:i w:val="0"/>
                <w:iCs w:val="0"/>
                <w:color w:val="000000"/>
                <w:kern w:val="0"/>
                <w:sz w:val="28"/>
                <w:szCs w:val="28"/>
                <w:u w:val="none"/>
                <w:lang w:val="en-US" w:eastAsia="zh-CN" w:bidi="ar"/>
              </w:rPr>
              <w:t>2</w:t>
            </w:r>
            <w:bookmarkEnd w:id="0"/>
          </w:p>
        </w:tc>
        <w:tc>
          <w:tcPr>
            <w:tcW w:w="5992" w:type="dxa"/>
            <w:tcBorders>
              <w:top w:val="nil"/>
              <w:left w:val="nil"/>
              <w:bottom w:val="nil"/>
              <w:right w:val="nil"/>
            </w:tcBorders>
            <w:noWrap w:val="0"/>
            <w:vAlign w:val="center"/>
          </w:tcPr>
          <w:p w14:paraId="49AD799A">
            <w:pPr>
              <w:jc w:val="both"/>
              <w:rPr>
                <w:rFonts w:hint="default" w:ascii="Times New Roman" w:hAnsi="Times New Roman" w:eastAsia="宋体" w:cs="Times New Roman"/>
                <w:i w:val="0"/>
                <w:iCs w:val="0"/>
                <w:color w:val="000000"/>
                <w:sz w:val="24"/>
                <w:szCs w:val="24"/>
                <w:u w:val="none"/>
              </w:rPr>
            </w:pPr>
          </w:p>
        </w:tc>
        <w:tc>
          <w:tcPr>
            <w:tcW w:w="1659" w:type="dxa"/>
            <w:tcBorders>
              <w:top w:val="nil"/>
              <w:left w:val="nil"/>
              <w:bottom w:val="nil"/>
              <w:right w:val="nil"/>
            </w:tcBorders>
            <w:noWrap/>
            <w:vAlign w:val="center"/>
          </w:tcPr>
          <w:p w14:paraId="20AE7F20">
            <w:pPr>
              <w:jc w:val="center"/>
              <w:rPr>
                <w:rFonts w:hint="default" w:ascii="Times New Roman" w:hAnsi="Times New Roman" w:eastAsia="宋体" w:cs="Times New Roman"/>
                <w:i w:val="0"/>
                <w:iCs w:val="0"/>
                <w:color w:val="000000"/>
                <w:sz w:val="24"/>
                <w:szCs w:val="24"/>
                <w:u w:val="none"/>
              </w:rPr>
            </w:pPr>
          </w:p>
        </w:tc>
        <w:tc>
          <w:tcPr>
            <w:tcW w:w="1601" w:type="dxa"/>
            <w:tcBorders>
              <w:top w:val="nil"/>
              <w:left w:val="nil"/>
              <w:bottom w:val="nil"/>
              <w:right w:val="nil"/>
            </w:tcBorders>
            <w:noWrap/>
            <w:vAlign w:val="center"/>
          </w:tcPr>
          <w:p w14:paraId="3B083158">
            <w:pPr>
              <w:rPr>
                <w:rFonts w:hint="default" w:ascii="Times New Roman" w:hAnsi="Times New Roman" w:eastAsia="宋体" w:cs="Times New Roman"/>
                <w:i w:val="0"/>
                <w:iCs w:val="0"/>
                <w:color w:val="000000"/>
                <w:sz w:val="24"/>
                <w:szCs w:val="24"/>
                <w:u w:val="none"/>
              </w:rPr>
            </w:pPr>
          </w:p>
        </w:tc>
        <w:tc>
          <w:tcPr>
            <w:tcW w:w="1327" w:type="dxa"/>
            <w:tcBorders>
              <w:top w:val="nil"/>
              <w:left w:val="nil"/>
              <w:bottom w:val="nil"/>
              <w:right w:val="nil"/>
            </w:tcBorders>
            <w:noWrap/>
            <w:vAlign w:val="center"/>
          </w:tcPr>
          <w:p w14:paraId="54CF7A66">
            <w:pPr>
              <w:rPr>
                <w:rFonts w:hint="default" w:ascii="Times New Roman" w:hAnsi="Times New Roman" w:eastAsia="宋体" w:cs="Times New Roman"/>
                <w:i w:val="0"/>
                <w:iCs w:val="0"/>
                <w:color w:val="000000"/>
                <w:sz w:val="24"/>
                <w:szCs w:val="24"/>
                <w:u w:val="none"/>
              </w:rPr>
            </w:pPr>
          </w:p>
        </w:tc>
        <w:tc>
          <w:tcPr>
            <w:tcW w:w="991" w:type="dxa"/>
            <w:tcBorders>
              <w:top w:val="nil"/>
              <w:left w:val="nil"/>
              <w:bottom w:val="nil"/>
              <w:right w:val="nil"/>
            </w:tcBorders>
            <w:noWrap/>
            <w:vAlign w:val="center"/>
          </w:tcPr>
          <w:p w14:paraId="66875C04">
            <w:pPr>
              <w:rPr>
                <w:rFonts w:hint="default" w:ascii="Times New Roman" w:hAnsi="Times New Roman" w:eastAsia="宋体" w:cs="Times New Roman"/>
                <w:i w:val="0"/>
                <w:iCs w:val="0"/>
                <w:color w:val="000000"/>
                <w:sz w:val="24"/>
                <w:szCs w:val="24"/>
                <w:u w:val="none"/>
              </w:rPr>
            </w:pPr>
          </w:p>
        </w:tc>
      </w:tr>
      <w:tr w14:paraId="7F162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4740" w:type="dxa"/>
            <w:gridSpan w:val="6"/>
            <w:tcBorders>
              <w:top w:val="nil"/>
              <w:left w:val="nil"/>
              <w:bottom w:val="nil"/>
              <w:right w:val="nil"/>
            </w:tcBorders>
            <w:noWrap w:val="0"/>
            <w:vAlign w:val="center"/>
          </w:tcPr>
          <w:p w14:paraId="0CE7A585">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u w:val="none"/>
              </w:rPr>
            </w:pPr>
            <w:r>
              <w:rPr>
                <w:rStyle w:val="10"/>
                <w:lang w:val="en-US" w:eastAsia="zh-CN" w:bidi="ar"/>
              </w:rPr>
              <w:t>十三届县委第八轮巡察黑山村反馈问题</w:t>
            </w:r>
            <w:r>
              <w:rPr>
                <w:rStyle w:val="10"/>
                <w:rFonts w:hint="eastAsia"/>
                <w:lang w:val="en-US" w:eastAsia="zh-CN" w:bidi="ar"/>
              </w:rPr>
              <w:t>社会公开</w:t>
            </w:r>
            <w:r>
              <w:rPr>
                <w:rStyle w:val="10"/>
                <w:lang w:val="en-US" w:eastAsia="zh-CN" w:bidi="ar"/>
              </w:rPr>
              <w:t>台账</w:t>
            </w:r>
          </w:p>
        </w:tc>
      </w:tr>
      <w:tr w14:paraId="66DAD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4740" w:type="dxa"/>
            <w:gridSpan w:val="6"/>
            <w:tcBorders>
              <w:top w:val="nil"/>
              <w:left w:val="nil"/>
              <w:bottom w:val="nil"/>
              <w:right w:val="nil"/>
            </w:tcBorders>
            <w:noWrap w:val="0"/>
            <w:vAlign w:val="center"/>
          </w:tcPr>
          <w:p w14:paraId="6FCD6256">
            <w:pPr>
              <w:keepNext w:val="0"/>
              <w:keepLines w:val="0"/>
              <w:widowControl/>
              <w:suppressLineNumbers w:val="0"/>
              <w:jc w:val="left"/>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方正仿宋简体" w:cs="Times New Roman"/>
                <w:i w:val="0"/>
                <w:iCs w:val="0"/>
                <w:color w:val="000000"/>
                <w:kern w:val="0"/>
                <w:sz w:val="32"/>
                <w:szCs w:val="32"/>
                <w:u w:val="none"/>
                <w:lang w:val="en-US" w:eastAsia="zh-CN" w:bidi="ar"/>
              </w:rPr>
              <w:t>填报单位（加盖公章）：</w:t>
            </w:r>
            <w:r>
              <w:rPr>
                <w:rFonts w:hint="eastAsia" w:eastAsia="方正仿宋简体" w:cs="Times New Roman"/>
                <w:i w:val="0"/>
                <w:iCs w:val="0"/>
                <w:color w:val="000000"/>
                <w:kern w:val="0"/>
                <w:sz w:val="32"/>
                <w:szCs w:val="32"/>
                <w:u w:val="none"/>
                <w:lang w:val="en-US" w:eastAsia="zh-CN" w:bidi="ar"/>
              </w:rPr>
              <w:t>中共</w:t>
            </w:r>
            <w:r>
              <w:rPr>
                <w:rFonts w:hint="default" w:ascii="Times New Roman" w:hAnsi="Times New Roman" w:eastAsia="方正仿宋简体" w:cs="Times New Roman"/>
                <w:i w:val="0"/>
                <w:iCs w:val="0"/>
                <w:color w:val="000000"/>
                <w:kern w:val="0"/>
                <w:sz w:val="32"/>
                <w:szCs w:val="32"/>
                <w:u w:val="none"/>
                <w:lang w:val="en-US" w:eastAsia="zh-CN" w:bidi="ar"/>
              </w:rPr>
              <w:t>发展河</w:t>
            </w:r>
            <w:r>
              <w:rPr>
                <w:rFonts w:hint="eastAsia" w:eastAsia="方正仿宋简体" w:cs="Times New Roman"/>
                <w:i w:val="0"/>
                <w:iCs w:val="0"/>
                <w:color w:val="000000"/>
                <w:kern w:val="0"/>
                <w:sz w:val="32"/>
                <w:szCs w:val="32"/>
                <w:u w:val="none"/>
                <w:lang w:val="en-US" w:eastAsia="zh-CN" w:bidi="ar"/>
              </w:rPr>
              <w:t>哈尼族</w:t>
            </w:r>
            <w:r>
              <w:rPr>
                <w:rFonts w:hint="default" w:ascii="Times New Roman" w:hAnsi="Times New Roman" w:eastAsia="方正仿宋简体" w:cs="Times New Roman"/>
                <w:i w:val="0"/>
                <w:iCs w:val="0"/>
                <w:color w:val="000000"/>
                <w:kern w:val="0"/>
                <w:sz w:val="32"/>
                <w:szCs w:val="32"/>
                <w:u w:val="none"/>
                <w:lang w:val="en-US" w:eastAsia="zh-CN" w:bidi="ar"/>
              </w:rPr>
              <w:t>乡</w:t>
            </w:r>
            <w:r>
              <w:rPr>
                <w:rFonts w:hint="eastAsia" w:eastAsia="方正仿宋简体" w:cs="Times New Roman"/>
                <w:i w:val="0"/>
                <w:iCs w:val="0"/>
                <w:color w:val="000000"/>
                <w:kern w:val="0"/>
                <w:sz w:val="32"/>
                <w:szCs w:val="32"/>
                <w:u w:val="none"/>
                <w:lang w:val="en-US" w:eastAsia="zh-CN" w:bidi="ar"/>
              </w:rPr>
              <w:t>委员会</w:t>
            </w:r>
            <w:r>
              <w:rPr>
                <w:rFonts w:hint="default" w:ascii="Times New Roman" w:hAnsi="Times New Roman" w:eastAsia="方正仿宋简体" w:cs="Times New Roman"/>
                <w:i w:val="0"/>
                <w:iCs w:val="0"/>
                <w:color w:val="000000"/>
                <w:kern w:val="0"/>
                <w:sz w:val="32"/>
                <w:szCs w:val="32"/>
                <w:u w:val="none"/>
                <w:lang w:val="en-US" w:eastAsia="zh-CN" w:bidi="ar"/>
              </w:rPr>
              <w:t xml:space="preserve">                 填报日期：202</w:t>
            </w:r>
            <w:r>
              <w:rPr>
                <w:rFonts w:hint="eastAsia" w:ascii="Times New Roman" w:hAnsi="Times New Roman" w:eastAsia="方正仿宋简体" w:cs="Times New Roman"/>
                <w:i w:val="0"/>
                <w:iCs w:val="0"/>
                <w:color w:val="000000"/>
                <w:kern w:val="0"/>
                <w:sz w:val="32"/>
                <w:szCs w:val="32"/>
                <w:u w:val="none"/>
                <w:lang w:val="en-US" w:eastAsia="zh-CN" w:bidi="ar"/>
              </w:rPr>
              <w:t>6</w:t>
            </w:r>
            <w:r>
              <w:rPr>
                <w:rFonts w:hint="default" w:ascii="Times New Roman" w:hAnsi="Times New Roman" w:eastAsia="方正仿宋简体" w:cs="Times New Roman"/>
                <w:i w:val="0"/>
                <w:iCs w:val="0"/>
                <w:color w:val="000000"/>
                <w:kern w:val="0"/>
                <w:sz w:val="32"/>
                <w:szCs w:val="32"/>
                <w:u w:val="none"/>
                <w:lang w:val="en-US" w:eastAsia="zh-CN" w:bidi="ar"/>
              </w:rPr>
              <w:t>年</w:t>
            </w:r>
            <w:r>
              <w:rPr>
                <w:rFonts w:hint="eastAsia" w:eastAsia="方正仿宋简体" w:cs="Times New Roman"/>
                <w:i w:val="0"/>
                <w:iCs w:val="0"/>
                <w:color w:val="000000"/>
                <w:kern w:val="0"/>
                <w:sz w:val="32"/>
                <w:szCs w:val="32"/>
                <w:u w:val="none"/>
                <w:lang w:val="en-US" w:eastAsia="zh-CN" w:bidi="ar"/>
              </w:rPr>
              <w:t>8</w:t>
            </w:r>
            <w:r>
              <w:rPr>
                <w:rFonts w:hint="default" w:ascii="Times New Roman" w:hAnsi="Times New Roman" w:eastAsia="方正仿宋简体" w:cs="Times New Roman"/>
                <w:i w:val="0"/>
                <w:iCs w:val="0"/>
                <w:color w:val="000000"/>
                <w:kern w:val="0"/>
                <w:sz w:val="32"/>
                <w:szCs w:val="32"/>
                <w:u w:val="none"/>
                <w:lang w:val="en-US" w:eastAsia="zh-CN" w:bidi="ar"/>
              </w:rPr>
              <w:t>月</w:t>
            </w:r>
            <w:r>
              <w:rPr>
                <w:rFonts w:hint="eastAsia" w:eastAsia="方正仿宋简体" w:cs="Times New Roman"/>
                <w:i w:val="0"/>
                <w:iCs w:val="0"/>
                <w:color w:val="000000"/>
                <w:kern w:val="0"/>
                <w:sz w:val="32"/>
                <w:szCs w:val="32"/>
                <w:u w:val="none"/>
                <w:lang w:val="en-US" w:eastAsia="zh-CN" w:bidi="ar"/>
              </w:rPr>
              <w:t>28</w:t>
            </w:r>
            <w:r>
              <w:rPr>
                <w:rFonts w:hint="default" w:ascii="Times New Roman" w:hAnsi="Times New Roman" w:eastAsia="方正仿宋简体" w:cs="Times New Roman"/>
                <w:i w:val="0"/>
                <w:iCs w:val="0"/>
                <w:color w:val="000000"/>
                <w:kern w:val="0"/>
                <w:sz w:val="32"/>
                <w:szCs w:val="32"/>
                <w:u w:val="none"/>
                <w:lang w:val="en-US" w:eastAsia="zh-CN" w:bidi="ar"/>
              </w:rPr>
              <w:t xml:space="preserve">日                               </w:t>
            </w:r>
            <w:r>
              <w:rPr>
                <w:rFonts w:hint="default" w:ascii="Times New Roman" w:hAnsi="Times New Roman" w:eastAsia="宋体" w:cs="Times New Roman"/>
                <w:i w:val="0"/>
                <w:iCs w:val="0"/>
                <w:color w:val="000000"/>
                <w:kern w:val="0"/>
                <w:sz w:val="32"/>
                <w:szCs w:val="32"/>
                <w:u w:val="none"/>
                <w:lang w:val="en-US" w:eastAsia="zh-CN" w:bidi="ar"/>
              </w:rPr>
              <w:t xml:space="preserve">                                                                                          </w:t>
            </w:r>
          </w:p>
        </w:tc>
      </w:tr>
    </w:tbl>
    <w:p w14:paraId="3D4F75F4"/>
    <w:tbl>
      <w:tblPr>
        <w:tblStyle w:val="7"/>
        <w:tblW w:w="128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9"/>
        <w:gridCol w:w="1867"/>
        <w:gridCol w:w="1708"/>
        <w:gridCol w:w="6700"/>
        <w:gridCol w:w="1417"/>
      </w:tblGrid>
      <w:tr w14:paraId="4117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jc w:val="center"/>
        </w:trPr>
        <w:tc>
          <w:tcPr>
            <w:tcW w:w="1149" w:type="dxa"/>
            <w:tcBorders>
              <w:top w:val="single" w:color="000000" w:sz="4" w:space="0"/>
              <w:left w:val="single" w:color="000000" w:sz="4" w:space="0"/>
              <w:bottom w:val="single" w:color="000000" w:sz="4" w:space="0"/>
              <w:right w:val="single" w:color="000000" w:sz="4" w:space="0"/>
            </w:tcBorders>
            <w:noWrap w:val="0"/>
            <w:vAlign w:val="center"/>
          </w:tcPr>
          <w:p w14:paraId="151B7F0C">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Style w:val="11"/>
                <w:rFonts w:hint="eastAsia" w:ascii="方正黑体简体" w:hAnsi="方正黑体简体" w:eastAsia="方正黑体简体" w:cs="方正黑体简体"/>
                <w:sz w:val="24"/>
                <w:szCs w:val="24"/>
                <w:lang w:val="en-US" w:eastAsia="zh-CN" w:bidi="ar"/>
              </w:rPr>
              <w:t>序号</w:t>
            </w:r>
          </w:p>
        </w:tc>
        <w:tc>
          <w:tcPr>
            <w:tcW w:w="1867" w:type="dxa"/>
            <w:tcBorders>
              <w:top w:val="single" w:color="000000" w:sz="4" w:space="0"/>
              <w:left w:val="single" w:color="000000" w:sz="4" w:space="0"/>
              <w:bottom w:val="nil"/>
              <w:right w:val="single" w:color="000000" w:sz="4" w:space="0"/>
            </w:tcBorders>
            <w:noWrap w:val="0"/>
            <w:vAlign w:val="center"/>
          </w:tcPr>
          <w:p w14:paraId="75F4900C">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Style w:val="11"/>
                <w:rFonts w:hint="eastAsia" w:ascii="方正黑体简体" w:hAnsi="方正黑体简体" w:eastAsia="方正黑体简体" w:cs="方正黑体简体"/>
                <w:sz w:val="24"/>
                <w:szCs w:val="24"/>
                <w:lang w:val="en-US" w:eastAsia="zh-CN" w:bidi="ar"/>
              </w:rPr>
              <w:t>问题分类</w:t>
            </w:r>
          </w:p>
        </w:tc>
        <w:tc>
          <w:tcPr>
            <w:tcW w:w="1708" w:type="dxa"/>
            <w:tcBorders>
              <w:top w:val="single" w:color="000000" w:sz="4" w:space="0"/>
              <w:left w:val="single" w:color="000000" w:sz="4" w:space="0"/>
              <w:bottom w:val="nil"/>
              <w:right w:val="single" w:color="000000" w:sz="4" w:space="0"/>
            </w:tcBorders>
            <w:noWrap w:val="0"/>
            <w:vAlign w:val="center"/>
          </w:tcPr>
          <w:p w14:paraId="458DCCE4">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eastAsia="方正黑体简体" w:cs="Times New Roman"/>
                <w:i w:val="0"/>
                <w:iCs w:val="0"/>
                <w:color w:val="000000"/>
                <w:kern w:val="0"/>
                <w:sz w:val="24"/>
                <w:szCs w:val="24"/>
                <w:u w:val="none"/>
                <w:lang w:val="en-US" w:eastAsia="zh-CN" w:bidi="ar"/>
              </w:rPr>
              <w:t>主要措施</w:t>
            </w:r>
          </w:p>
        </w:tc>
        <w:tc>
          <w:tcPr>
            <w:tcW w:w="6700" w:type="dxa"/>
            <w:tcBorders>
              <w:top w:val="single" w:color="000000" w:sz="4" w:space="0"/>
              <w:left w:val="single" w:color="000000" w:sz="4" w:space="0"/>
              <w:bottom w:val="single" w:color="000000" w:sz="4" w:space="0"/>
              <w:right w:val="single" w:color="000000" w:sz="4" w:space="0"/>
            </w:tcBorders>
            <w:noWrap w:val="0"/>
            <w:vAlign w:val="center"/>
          </w:tcPr>
          <w:p w14:paraId="2370C2EF">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Style w:val="11"/>
                <w:rFonts w:hint="eastAsia" w:ascii="方正黑体简体" w:hAnsi="方正黑体简体" w:eastAsia="方正黑体简体" w:cs="方正黑体简体"/>
                <w:sz w:val="24"/>
                <w:szCs w:val="24"/>
                <w:lang w:val="en-US" w:eastAsia="zh-CN" w:bidi="ar"/>
              </w:rPr>
              <w:t>整改工作及成效</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C60B234">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Style w:val="11"/>
                <w:rFonts w:hint="eastAsia" w:ascii="方正黑体简体" w:hAnsi="方正黑体简体" w:eastAsia="方正黑体简体" w:cs="方正黑体简体"/>
                <w:sz w:val="24"/>
                <w:szCs w:val="24"/>
                <w:lang w:val="en-US" w:eastAsia="zh-CN" w:bidi="ar"/>
              </w:rPr>
              <w:t>备注</w:t>
            </w:r>
          </w:p>
        </w:tc>
      </w:tr>
      <w:tr w14:paraId="1AD9F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6" w:hRule="atLeast"/>
          <w:jc w:val="center"/>
        </w:trPr>
        <w:tc>
          <w:tcPr>
            <w:tcW w:w="1149" w:type="dxa"/>
            <w:tcBorders>
              <w:top w:val="single" w:color="000000" w:sz="4" w:space="0"/>
              <w:left w:val="single" w:color="000000" w:sz="4" w:space="0"/>
              <w:bottom w:val="single" w:color="000000" w:sz="4" w:space="0"/>
              <w:right w:val="single" w:color="000000" w:sz="4" w:space="0"/>
            </w:tcBorders>
            <w:noWrap w:val="0"/>
            <w:vAlign w:val="center"/>
          </w:tcPr>
          <w:p w14:paraId="590E0B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86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CF413E">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一、关于检查巡视巡察、审计等监督发现问题方面的整改进展情况</w:t>
            </w:r>
          </w:p>
        </w:tc>
        <w:tc>
          <w:tcPr>
            <w:tcW w:w="1708" w:type="dxa"/>
            <w:tcBorders>
              <w:top w:val="single" w:color="000000" w:sz="4" w:space="0"/>
              <w:left w:val="single" w:color="000000" w:sz="4" w:space="0"/>
              <w:bottom w:val="single" w:color="000000" w:sz="4" w:space="0"/>
              <w:right w:val="single" w:color="000000" w:sz="4" w:space="0"/>
            </w:tcBorders>
            <w:noWrap w:val="0"/>
            <w:vAlign w:val="center"/>
          </w:tcPr>
          <w:p w14:paraId="61286C8C">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1.扛牢整改责任</w:t>
            </w:r>
          </w:p>
        </w:tc>
        <w:tc>
          <w:tcPr>
            <w:tcW w:w="6700" w:type="dxa"/>
            <w:tcBorders>
              <w:top w:val="single" w:color="000000" w:sz="4" w:space="0"/>
              <w:left w:val="single" w:color="000000" w:sz="4" w:space="0"/>
              <w:bottom w:val="single" w:color="000000" w:sz="4" w:space="0"/>
              <w:right w:val="single" w:color="000000" w:sz="4" w:space="0"/>
            </w:tcBorders>
            <w:noWrap w:val="0"/>
            <w:vAlign w:val="center"/>
          </w:tcPr>
          <w:p w14:paraId="71B36596">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一是召开了党总支部专题会议，专题研究上一轮巡察整改</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回头看</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和本次巡察反馈问题整改工作，建立《巡察反馈问题整改台账》，明确整改目标、措施、责任人和完成时限。二是开展党员干部理论知识专题培训。三是建立常态化整改研究机制，每周召开</w:t>
            </w:r>
            <w:r>
              <w:rPr>
                <w:rStyle w:val="12"/>
                <w:rFonts w:eastAsia="宋体"/>
                <w:b w:val="0"/>
                <w:bCs w:val="0"/>
                <w:sz w:val="22"/>
                <w:szCs w:val="22"/>
                <w:lang w:val="en-US" w:eastAsia="zh-CN" w:bidi="ar"/>
              </w:rPr>
              <w:t>1</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次党总支部会议，专题研究整改推进情况，及时解决整改中的难点问题。</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106477B9">
            <w:pPr>
              <w:rPr>
                <w:rFonts w:hint="default" w:ascii="Times New Roman" w:hAnsi="Times New Roman" w:eastAsia="宋体" w:cs="Times New Roman"/>
                <w:i w:val="0"/>
                <w:iCs w:val="0"/>
                <w:color w:val="000000"/>
                <w:sz w:val="24"/>
                <w:szCs w:val="24"/>
                <w:u w:val="none"/>
              </w:rPr>
            </w:pPr>
          </w:p>
        </w:tc>
      </w:tr>
      <w:tr w14:paraId="79F7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1149" w:type="dxa"/>
            <w:tcBorders>
              <w:top w:val="single" w:color="000000" w:sz="4" w:space="0"/>
              <w:left w:val="single" w:color="000000" w:sz="4" w:space="0"/>
              <w:bottom w:val="single" w:color="000000" w:sz="4" w:space="0"/>
              <w:right w:val="single" w:color="000000" w:sz="4" w:space="0"/>
            </w:tcBorders>
            <w:noWrap w:val="0"/>
            <w:vAlign w:val="center"/>
          </w:tcPr>
          <w:p w14:paraId="201720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8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D3348">
            <w:pPr>
              <w:jc w:val="center"/>
              <w:rPr>
                <w:rFonts w:hint="default" w:ascii="Times New Roman" w:hAnsi="Times New Roman" w:eastAsia="方正仿宋简体" w:cs="Times New Roman"/>
                <w:i w:val="0"/>
                <w:iCs w:val="0"/>
                <w:color w:val="000000"/>
                <w:sz w:val="22"/>
                <w:szCs w:val="22"/>
                <w:u w:val="none"/>
              </w:rPr>
            </w:pPr>
          </w:p>
        </w:tc>
        <w:tc>
          <w:tcPr>
            <w:tcW w:w="1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7BCF71">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2.加强巡察整改</w:t>
            </w:r>
          </w:p>
        </w:tc>
        <w:tc>
          <w:tcPr>
            <w:tcW w:w="6700" w:type="dxa"/>
            <w:tcBorders>
              <w:top w:val="single" w:color="000000" w:sz="4" w:space="0"/>
              <w:left w:val="single" w:color="000000" w:sz="4" w:space="0"/>
              <w:bottom w:val="single" w:color="000000" w:sz="4" w:space="0"/>
              <w:right w:val="single" w:color="000000" w:sz="4" w:space="0"/>
            </w:tcBorders>
            <w:noWrap w:val="0"/>
            <w:vAlign w:val="center"/>
          </w:tcPr>
          <w:p w14:paraId="596B99AC">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更换了活动场所破损国旗；明确了活动场所国旗管理第一责任人。</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7870D167">
            <w:pPr>
              <w:rPr>
                <w:rFonts w:hint="default" w:ascii="Times New Roman" w:hAnsi="Times New Roman" w:eastAsia="宋体" w:cs="Times New Roman"/>
                <w:i w:val="0"/>
                <w:iCs w:val="0"/>
                <w:color w:val="000000"/>
                <w:sz w:val="24"/>
                <w:szCs w:val="24"/>
                <w:u w:val="none"/>
              </w:rPr>
            </w:pPr>
          </w:p>
        </w:tc>
      </w:tr>
      <w:tr w14:paraId="733A3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9" w:hRule="atLeast"/>
          <w:jc w:val="center"/>
        </w:trPr>
        <w:tc>
          <w:tcPr>
            <w:tcW w:w="1149" w:type="dxa"/>
            <w:tcBorders>
              <w:top w:val="single" w:color="000000" w:sz="4" w:space="0"/>
              <w:left w:val="single" w:color="000000" w:sz="4" w:space="0"/>
              <w:bottom w:val="single" w:color="000000" w:sz="4" w:space="0"/>
              <w:right w:val="single" w:color="000000" w:sz="4" w:space="0"/>
            </w:tcBorders>
            <w:noWrap w:val="0"/>
            <w:vAlign w:val="center"/>
          </w:tcPr>
          <w:p w14:paraId="362B2C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8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5024BC">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E8994">
            <w:pPr>
              <w:jc w:val="left"/>
              <w:rPr>
                <w:rFonts w:hint="default" w:ascii="Times New Roman" w:hAnsi="Times New Roman" w:eastAsia="方正仿宋简体" w:cs="Times New Roman"/>
                <w:i w:val="0"/>
                <w:iCs w:val="0"/>
                <w:color w:val="000000"/>
                <w:sz w:val="22"/>
                <w:szCs w:val="22"/>
                <w:u w:val="none"/>
              </w:rPr>
            </w:pPr>
          </w:p>
        </w:tc>
        <w:tc>
          <w:tcPr>
            <w:tcW w:w="6700" w:type="dxa"/>
            <w:tcBorders>
              <w:top w:val="single" w:color="000000" w:sz="4" w:space="0"/>
              <w:left w:val="single" w:color="000000" w:sz="4" w:space="0"/>
              <w:bottom w:val="single" w:color="000000" w:sz="4" w:space="0"/>
              <w:right w:val="single" w:color="000000" w:sz="4" w:space="0"/>
            </w:tcBorders>
            <w:noWrap w:val="0"/>
            <w:vAlign w:val="center"/>
          </w:tcPr>
          <w:p w14:paraId="0FFFE975">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黑山</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村</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两委</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班子、村民小组干部多次对接</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相关</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当事人，当面宣讲村级集体资金管理、项目资金使用相关规定，讲明逾期欠款的相关责任，反复沟通劝导，督促其主动筹措资金归还欠款</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将该笔欠款清收工作纳入村级重点督办事项，</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黑山</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村</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两委</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w:t>
            </w:r>
            <w:r>
              <w:rPr>
                <w:rFonts w:hint="default" w:ascii="方正仿宋简体" w:hAnsi="方正仿宋简体" w:eastAsia="方正仿宋简体" w:cs="方正仿宋简体"/>
                <w:b w:val="0"/>
                <w:bCs w:val="0"/>
                <w:i w:val="0"/>
                <w:iCs w:val="0"/>
                <w:color w:val="000000"/>
                <w:kern w:val="0"/>
                <w:sz w:val="22"/>
                <w:szCs w:val="22"/>
                <w:highlight w:val="none"/>
                <w:u w:val="none"/>
                <w:lang w:val="en-US" w:eastAsia="zh-CN" w:bidi="ar"/>
              </w:rPr>
              <w:t>定期召开工作碰头会，专题研判还款推进堵点，梳理沟通中存在的难点问题，及时调整沟通劝导方式，持续推进资金追缴到位。</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21C72BB3">
            <w:pPr>
              <w:rPr>
                <w:rFonts w:hint="default" w:ascii="Times New Roman" w:hAnsi="Times New Roman" w:eastAsia="宋体" w:cs="Times New Roman"/>
                <w:i w:val="0"/>
                <w:iCs w:val="0"/>
                <w:color w:val="000000"/>
                <w:sz w:val="24"/>
                <w:szCs w:val="24"/>
                <w:u w:val="none"/>
              </w:rPr>
            </w:pPr>
          </w:p>
        </w:tc>
      </w:tr>
    </w:tbl>
    <w:p w14:paraId="382EDF67"/>
    <w:tbl>
      <w:tblPr>
        <w:tblStyle w:val="7"/>
        <w:tblW w:w="128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9"/>
        <w:gridCol w:w="1867"/>
        <w:gridCol w:w="1708"/>
        <w:gridCol w:w="6700"/>
        <w:gridCol w:w="1417"/>
      </w:tblGrid>
      <w:tr w14:paraId="482CD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jc w:val="center"/>
        </w:trPr>
        <w:tc>
          <w:tcPr>
            <w:tcW w:w="1149" w:type="dxa"/>
            <w:tcBorders>
              <w:tl2br w:val="nil"/>
              <w:tr2bl w:val="nil"/>
            </w:tcBorders>
            <w:noWrap w:val="0"/>
            <w:vAlign w:val="center"/>
          </w:tcPr>
          <w:p w14:paraId="67A62D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867" w:type="dxa"/>
            <w:vMerge w:val="restart"/>
            <w:tcBorders>
              <w:tl2br w:val="nil"/>
              <w:tr2bl w:val="nil"/>
            </w:tcBorders>
            <w:noWrap w:val="0"/>
            <w:vAlign w:val="center"/>
          </w:tcPr>
          <w:p w14:paraId="7EC632C4">
            <w:pPr>
              <w:jc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一、关于检查巡视巡察、审计等监督发现问题方面的整改进展情况</w:t>
            </w:r>
          </w:p>
        </w:tc>
        <w:tc>
          <w:tcPr>
            <w:tcW w:w="1708" w:type="dxa"/>
            <w:vMerge w:val="restart"/>
            <w:tcBorders>
              <w:tl2br w:val="nil"/>
              <w:tr2bl w:val="nil"/>
            </w:tcBorders>
            <w:noWrap w:val="0"/>
            <w:vAlign w:val="center"/>
          </w:tcPr>
          <w:p w14:paraId="1B0D88AB">
            <w:pPr>
              <w:jc w:val="left"/>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2.加强巡察整改</w:t>
            </w:r>
          </w:p>
        </w:tc>
        <w:tc>
          <w:tcPr>
            <w:tcW w:w="6700" w:type="dxa"/>
            <w:tcBorders>
              <w:tl2br w:val="nil"/>
              <w:tr2bl w:val="nil"/>
            </w:tcBorders>
            <w:noWrap w:val="0"/>
            <w:vAlign w:val="center"/>
          </w:tcPr>
          <w:p w14:paraId="24F868D3">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组织人员对活动场所屋檐排水系统进行了疏通改造，更换了活动场所损坏的屋顶瓦片，维修了球场地板；针对活动场所管理制度上墙事宜，已上报上级统筹安排。</w:t>
            </w:r>
          </w:p>
        </w:tc>
        <w:tc>
          <w:tcPr>
            <w:tcW w:w="1417" w:type="dxa"/>
            <w:tcBorders>
              <w:tl2br w:val="nil"/>
              <w:tr2bl w:val="nil"/>
            </w:tcBorders>
            <w:noWrap/>
            <w:vAlign w:val="center"/>
          </w:tcPr>
          <w:p w14:paraId="5F990301">
            <w:pPr>
              <w:rPr>
                <w:rFonts w:hint="default" w:ascii="Times New Roman" w:hAnsi="Times New Roman" w:eastAsia="宋体" w:cs="Times New Roman"/>
                <w:i w:val="0"/>
                <w:iCs w:val="0"/>
                <w:color w:val="000000"/>
                <w:sz w:val="24"/>
                <w:szCs w:val="24"/>
                <w:u w:val="none"/>
              </w:rPr>
            </w:pPr>
          </w:p>
        </w:tc>
      </w:tr>
      <w:tr w14:paraId="5DE59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0" w:hRule="atLeast"/>
          <w:jc w:val="center"/>
        </w:trPr>
        <w:tc>
          <w:tcPr>
            <w:tcW w:w="1149" w:type="dxa"/>
            <w:tcBorders>
              <w:tl2br w:val="nil"/>
              <w:tr2bl w:val="nil"/>
            </w:tcBorders>
            <w:noWrap w:val="0"/>
            <w:vAlign w:val="center"/>
          </w:tcPr>
          <w:p w14:paraId="08B104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867" w:type="dxa"/>
            <w:vMerge w:val="continue"/>
            <w:tcBorders>
              <w:tl2br w:val="nil"/>
              <w:tr2bl w:val="nil"/>
            </w:tcBorders>
            <w:noWrap w:val="0"/>
            <w:vAlign w:val="center"/>
          </w:tcPr>
          <w:p w14:paraId="5B22D643">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l2br w:val="nil"/>
              <w:tr2bl w:val="nil"/>
            </w:tcBorders>
            <w:noWrap w:val="0"/>
            <w:vAlign w:val="center"/>
          </w:tcPr>
          <w:p w14:paraId="6045465F">
            <w:pPr>
              <w:jc w:val="left"/>
              <w:rPr>
                <w:rFonts w:hint="default" w:ascii="Times New Roman" w:hAnsi="Times New Roman" w:eastAsia="方正仿宋简体" w:cs="Times New Roman"/>
                <w:i w:val="0"/>
                <w:iCs w:val="0"/>
                <w:color w:val="000000"/>
                <w:sz w:val="22"/>
                <w:szCs w:val="22"/>
                <w:u w:val="none"/>
              </w:rPr>
            </w:pPr>
          </w:p>
        </w:tc>
        <w:tc>
          <w:tcPr>
            <w:tcW w:w="6700" w:type="dxa"/>
            <w:tcBorders>
              <w:tl2br w:val="nil"/>
              <w:tr2bl w:val="nil"/>
            </w:tcBorders>
            <w:noWrap w:val="0"/>
            <w:vAlign w:val="center"/>
          </w:tcPr>
          <w:p w14:paraId="0455958B">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规范了会议记录管理，明确专职记录员负责党总支会议记录，统一使用规范会议记录本，做到会议时间、地点、参会人员、议题、发言要点、决议事项等要素齐全，同步整理会议纪要并归档留存。</w:t>
            </w:r>
          </w:p>
        </w:tc>
        <w:tc>
          <w:tcPr>
            <w:tcW w:w="1417" w:type="dxa"/>
            <w:tcBorders>
              <w:tl2br w:val="nil"/>
              <w:tr2bl w:val="nil"/>
            </w:tcBorders>
            <w:noWrap/>
            <w:vAlign w:val="center"/>
          </w:tcPr>
          <w:p w14:paraId="6D87ED05">
            <w:pPr>
              <w:rPr>
                <w:rFonts w:hint="default" w:ascii="Times New Roman" w:hAnsi="Times New Roman" w:eastAsia="宋体" w:cs="Times New Roman"/>
                <w:i w:val="0"/>
                <w:iCs w:val="0"/>
                <w:color w:val="000000"/>
                <w:sz w:val="24"/>
                <w:szCs w:val="24"/>
                <w:u w:val="none"/>
              </w:rPr>
            </w:pPr>
          </w:p>
        </w:tc>
      </w:tr>
      <w:tr w14:paraId="559DF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8" w:hRule="atLeast"/>
          <w:jc w:val="center"/>
        </w:trPr>
        <w:tc>
          <w:tcPr>
            <w:tcW w:w="1149" w:type="dxa"/>
            <w:tcBorders>
              <w:tl2br w:val="nil"/>
              <w:tr2bl w:val="nil"/>
            </w:tcBorders>
            <w:noWrap w:val="0"/>
            <w:vAlign w:val="center"/>
          </w:tcPr>
          <w:p w14:paraId="7CE4CC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867" w:type="dxa"/>
            <w:vMerge w:val="restart"/>
            <w:tcBorders>
              <w:tl2br w:val="nil"/>
              <w:tr2bl w:val="nil"/>
            </w:tcBorders>
            <w:noWrap w:val="0"/>
            <w:vAlign w:val="center"/>
          </w:tcPr>
          <w:p w14:paraId="6E3B26D4">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二、关于检查学习贯彻习近平新时代中国特色社会主义思想和党的二十大和二十届二中、三中全会精神，加强政治建设方面的整改进展情况</w:t>
            </w:r>
          </w:p>
        </w:tc>
        <w:tc>
          <w:tcPr>
            <w:tcW w:w="1708" w:type="dxa"/>
            <w:tcBorders>
              <w:tl2br w:val="nil"/>
              <w:tr2bl w:val="nil"/>
            </w:tcBorders>
            <w:noWrap w:val="0"/>
            <w:vAlign w:val="center"/>
          </w:tcPr>
          <w:p w14:paraId="17ED24D5">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1.强化政治理论学习</w:t>
            </w:r>
          </w:p>
        </w:tc>
        <w:tc>
          <w:tcPr>
            <w:tcW w:w="6700" w:type="dxa"/>
            <w:tcBorders>
              <w:tl2br w:val="nil"/>
              <w:tr2bl w:val="nil"/>
            </w:tcBorders>
            <w:noWrap w:val="0"/>
            <w:vAlign w:val="center"/>
          </w:tcPr>
          <w:p w14:paraId="6ACFB674">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一是制定了《</w:t>
            </w:r>
            <w:r>
              <w:rPr>
                <w:rStyle w:val="12"/>
                <w:rFonts w:eastAsia="宋体"/>
                <w:b w:val="0"/>
                <w:bCs w:val="0"/>
                <w:sz w:val="22"/>
                <w:szCs w:val="22"/>
                <w:lang w:val="en-US" w:eastAsia="zh-CN" w:bidi="ar"/>
              </w:rPr>
              <w:t>2025</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年党员政治理论学习计划》，每周利用工作例会开展集中学习</w:t>
            </w:r>
            <w:r>
              <w:rPr>
                <w:rStyle w:val="12"/>
                <w:rFonts w:eastAsia="宋体"/>
                <w:b w:val="0"/>
                <w:bCs w:val="0"/>
                <w:sz w:val="22"/>
                <w:szCs w:val="22"/>
                <w:lang w:val="en-US" w:eastAsia="zh-CN" w:bidi="ar"/>
              </w:rPr>
              <w:t>1</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次，每季度开展专题研讨</w:t>
            </w:r>
            <w:r>
              <w:rPr>
                <w:rStyle w:val="12"/>
                <w:rFonts w:eastAsia="宋体"/>
                <w:b w:val="0"/>
                <w:bCs w:val="0"/>
                <w:sz w:val="22"/>
                <w:szCs w:val="22"/>
                <w:lang w:val="en-US" w:eastAsia="zh-CN" w:bidi="ar"/>
              </w:rPr>
              <w:t>1</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次，邀请挂村领导授课</w:t>
            </w:r>
            <w:r>
              <w:rPr>
                <w:rStyle w:val="12"/>
                <w:rFonts w:eastAsia="宋体"/>
                <w:b w:val="0"/>
                <w:bCs w:val="0"/>
                <w:sz w:val="22"/>
                <w:szCs w:val="22"/>
                <w:lang w:val="en-US" w:eastAsia="zh-CN" w:bidi="ar"/>
              </w:rPr>
              <w:t>2</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次，确保班子成员和党员干部学深悟透。二是组织班子成员开展了专题自学，切实提升运用党的创新理论武装头脑、指导实践、推动工作的能力。</w:t>
            </w:r>
          </w:p>
        </w:tc>
        <w:tc>
          <w:tcPr>
            <w:tcW w:w="1417" w:type="dxa"/>
            <w:tcBorders>
              <w:tl2br w:val="nil"/>
              <w:tr2bl w:val="nil"/>
            </w:tcBorders>
            <w:noWrap/>
            <w:vAlign w:val="center"/>
          </w:tcPr>
          <w:p w14:paraId="19813D13">
            <w:pPr>
              <w:rPr>
                <w:rFonts w:hint="default" w:ascii="Times New Roman" w:hAnsi="Times New Roman" w:eastAsia="宋体" w:cs="Times New Roman"/>
                <w:i w:val="0"/>
                <w:iCs w:val="0"/>
                <w:color w:val="000000"/>
                <w:sz w:val="24"/>
                <w:szCs w:val="24"/>
                <w:u w:val="none"/>
              </w:rPr>
            </w:pPr>
          </w:p>
        </w:tc>
      </w:tr>
      <w:tr w14:paraId="6D44A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7" w:hRule="atLeast"/>
          <w:jc w:val="center"/>
        </w:trPr>
        <w:tc>
          <w:tcPr>
            <w:tcW w:w="1149" w:type="dxa"/>
            <w:tcBorders>
              <w:tl2br w:val="nil"/>
              <w:tr2bl w:val="nil"/>
            </w:tcBorders>
            <w:noWrap w:val="0"/>
            <w:vAlign w:val="center"/>
          </w:tcPr>
          <w:p w14:paraId="49A6CC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867" w:type="dxa"/>
            <w:vMerge w:val="continue"/>
            <w:tcBorders>
              <w:tl2br w:val="nil"/>
              <w:tr2bl w:val="nil"/>
            </w:tcBorders>
            <w:noWrap w:val="0"/>
            <w:vAlign w:val="center"/>
          </w:tcPr>
          <w:p w14:paraId="1EA4CB21">
            <w:pPr>
              <w:jc w:val="center"/>
              <w:rPr>
                <w:rFonts w:hint="default" w:ascii="Times New Roman" w:hAnsi="Times New Roman" w:eastAsia="方正仿宋简体" w:cs="Times New Roman"/>
                <w:i w:val="0"/>
                <w:iCs w:val="0"/>
                <w:color w:val="000000"/>
                <w:sz w:val="22"/>
                <w:szCs w:val="22"/>
                <w:u w:val="none"/>
              </w:rPr>
            </w:pPr>
          </w:p>
        </w:tc>
        <w:tc>
          <w:tcPr>
            <w:tcW w:w="1708" w:type="dxa"/>
            <w:vMerge w:val="restart"/>
            <w:tcBorders>
              <w:tl2br w:val="nil"/>
              <w:tr2bl w:val="nil"/>
            </w:tcBorders>
            <w:noWrap w:val="0"/>
            <w:vAlign w:val="center"/>
          </w:tcPr>
          <w:p w14:paraId="2B0AE949">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2.严管意识形态阵地</w:t>
            </w:r>
          </w:p>
        </w:tc>
        <w:tc>
          <w:tcPr>
            <w:tcW w:w="6700" w:type="dxa"/>
            <w:tcBorders>
              <w:tl2br w:val="nil"/>
              <w:tr2bl w:val="nil"/>
            </w:tcBorders>
            <w:noWrap w:val="0"/>
            <w:vAlign w:val="center"/>
          </w:tcPr>
          <w:p w14:paraId="2FC71AB8">
            <w:pPr>
              <w:keepNext w:val="0"/>
              <w:keepLines w:val="0"/>
              <w:pageBreakBefore w:val="0"/>
              <w:widowControl/>
              <w:suppressLineNumbers w:val="0"/>
              <w:kinsoku/>
              <w:wordWrap/>
              <w:overflowPunct/>
              <w:topLinePunct w:val="0"/>
              <w:autoSpaceDE w:val="0"/>
              <w:autoSpaceDN w:val="0"/>
              <w:bidi w:val="0"/>
              <w:adjustRightInd/>
              <w:snapToGrid/>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明确了专职人员负责应急广播机房管理，并修复了损坏的应急广播；组织村组干部开展了应急广播使用培训，充分发挥应急广播政策宣传、应急预警等作用。</w:t>
            </w:r>
          </w:p>
        </w:tc>
        <w:tc>
          <w:tcPr>
            <w:tcW w:w="1417" w:type="dxa"/>
            <w:tcBorders>
              <w:tl2br w:val="nil"/>
              <w:tr2bl w:val="nil"/>
            </w:tcBorders>
            <w:noWrap/>
            <w:vAlign w:val="center"/>
          </w:tcPr>
          <w:p w14:paraId="685943CC">
            <w:pPr>
              <w:rPr>
                <w:rFonts w:hint="default" w:ascii="Times New Roman" w:hAnsi="Times New Roman" w:eastAsia="宋体" w:cs="Times New Roman"/>
                <w:i w:val="0"/>
                <w:iCs w:val="0"/>
                <w:color w:val="000000"/>
                <w:sz w:val="24"/>
                <w:szCs w:val="24"/>
                <w:u w:val="none"/>
              </w:rPr>
            </w:pPr>
          </w:p>
        </w:tc>
      </w:tr>
      <w:tr w14:paraId="0ECC2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1" w:hRule="atLeast"/>
          <w:jc w:val="center"/>
        </w:trPr>
        <w:tc>
          <w:tcPr>
            <w:tcW w:w="1149" w:type="dxa"/>
            <w:tcBorders>
              <w:tl2br w:val="nil"/>
              <w:tr2bl w:val="nil"/>
            </w:tcBorders>
            <w:noWrap w:val="0"/>
            <w:vAlign w:val="center"/>
          </w:tcPr>
          <w:p w14:paraId="402E09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867" w:type="dxa"/>
            <w:vMerge w:val="continue"/>
            <w:tcBorders>
              <w:tl2br w:val="nil"/>
              <w:tr2bl w:val="nil"/>
            </w:tcBorders>
            <w:noWrap w:val="0"/>
            <w:vAlign w:val="center"/>
          </w:tcPr>
          <w:p w14:paraId="3F1C8CA4">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l2br w:val="nil"/>
              <w:tr2bl w:val="nil"/>
            </w:tcBorders>
            <w:noWrap w:val="0"/>
            <w:vAlign w:val="center"/>
          </w:tcPr>
          <w:p w14:paraId="095725DD">
            <w:pPr>
              <w:jc w:val="left"/>
              <w:rPr>
                <w:rFonts w:hint="default" w:ascii="Times New Roman" w:hAnsi="Times New Roman" w:eastAsia="方正仿宋简体" w:cs="Times New Roman"/>
                <w:i w:val="0"/>
                <w:iCs w:val="0"/>
                <w:color w:val="000000"/>
                <w:sz w:val="22"/>
                <w:szCs w:val="22"/>
                <w:u w:val="none"/>
              </w:rPr>
            </w:pPr>
          </w:p>
        </w:tc>
        <w:tc>
          <w:tcPr>
            <w:tcW w:w="6700" w:type="dxa"/>
            <w:tcBorders>
              <w:tl2br w:val="nil"/>
              <w:tr2bl w:val="nil"/>
            </w:tcBorders>
            <w:noWrap w:val="0"/>
            <w:vAlign w:val="center"/>
          </w:tcPr>
          <w:p w14:paraId="03E6EF12">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对农家书屋图书进行了全面清理；建立了图书借阅登记制度，明确专人负责管理。</w:t>
            </w:r>
          </w:p>
        </w:tc>
        <w:tc>
          <w:tcPr>
            <w:tcW w:w="1417" w:type="dxa"/>
            <w:tcBorders>
              <w:tl2br w:val="nil"/>
              <w:tr2bl w:val="nil"/>
            </w:tcBorders>
            <w:noWrap/>
            <w:vAlign w:val="center"/>
          </w:tcPr>
          <w:p w14:paraId="7DF7A26D">
            <w:pPr>
              <w:rPr>
                <w:rFonts w:hint="default" w:ascii="Times New Roman" w:hAnsi="Times New Roman" w:eastAsia="宋体" w:cs="Times New Roman"/>
                <w:i w:val="0"/>
                <w:iCs w:val="0"/>
                <w:color w:val="000000"/>
                <w:sz w:val="24"/>
                <w:szCs w:val="24"/>
                <w:u w:val="none"/>
              </w:rPr>
            </w:pPr>
          </w:p>
        </w:tc>
      </w:tr>
      <w:tr w14:paraId="7AF6D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1149" w:type="dxa"/>
            <w:tcBorders>
              <w:tl2br w:val="nil"/>
              <w:tr2bl w:val="nil"/>
            </w:tcBorders>
            <w:noWrap w:val="0"/>
            <w:vAlign w:val="center"/>
          </w:tcPr>
          <w:p w14:paraId="381B53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867" w:type="dxa"/>
            <w:vMerge w:val="continue"/>
            <w:tcBorders>
              <w:tl2br w:val="nil"/>
              <w:tr2bl w:val="nil"/>
            </w:tcBorders>
            <w:noWrap w:val="0"/>
            <w:vAlign w:val="center"/>
          </w:tcPr>
          <w:p w14:paraId="3CEE5FEB">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l2br w:val="nil"/>
              <w:tr2bl w:val="nil"/>
            </w:tcBorders>
            <w:noWrap w:val="0"/>
            <w:vAlign w:val="center"/>
          </w:tcPr>
          <w:p w14:paraId="0671E090">
            <w:pPr>
              <w:jc w:val="left"/>
              <w:rPr>
                <w:rFonts w:hint="default" w:ascii="Times New Roman" w:hAnsi="Times New Roman" w:eastAsia="方正仿宋简体" w:cs="Times New Roman"/>
                <w:i w:val="0"/>
                <w:iCs w:val="0"/>
                <w:color w:val="000000"/>
                <w:sz w:val="22"/>
                <w:szCs w:val="22"/>
                <w:u w:val="none"/>
              </w:rPr>
            </w:pPr>
          </w:p>
        </w:tc>
        <w:tc>
          <w:tcPr>
            <w:tcW w:w="6700" w:type="dxa"/>
            <w:tcBorders>
              <w:tl2br w:val="nil"/>
              <w:tr2bl w:val="nil"/>
            </w:tcBorders>
            <w:noWrap w:val="0"/>
            <w:vAlign w:val="center"/>
          </w:tcPr>
          <w:p w14:paraId="27495139">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完善了新时代文明实践站建设，并进行公示，开展</w:t>
            </w:r>
            <w:r>
              <w:rPr>
                <w:rStyle w:val="12"/>
                <w:rFonts w:hint="eastAsia" w:ascii="方正仿宋简体" w:hAnsi="方正仿宋简体" w:eastAsia="方正仿宋简体" w:cs="方正仿宋简体"/>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我们的节日</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政策宣讲</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志愿服务</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等活动，营造浓厚活动氛围。</w:t>
            </w:r>
          </w:p>
        </w:tc>
        <w:tc>
          <w:tcPr>
            <w:tcW w:w="1417" w:type="dxa"/>
            <w:tcBorders>
              <w:tl2br w:val="nil"/>
              <w:tr2bl w:val="nil"/>
            </w:tcBorders>
            <w:noWrap/>
            <w:vAlign w:val="center"/>
          </w:tcPr>
          <w:p w14:paraId="33B8B84A">
            <w:pPr>
              <w:rPr>
                <w:rFonts w:hint="default" w:ascii="Times New Roman" w:hAnsi="Times New Roman" w:eastAsia="宋体" w:cs="Times New Roman"/>
                <w:i w:val="0"/>
                <w:iCs w:val="0"/>
                <w:color w:val="000000"/>
                <w:sz w:val="24"/>
                <w:szCs w:val="24"/>
                <w:u w:val="none"/>
              </w:rPr>
            </w:pPr>
          </w:p>
        </w:tc>
      </w:tr>
    </w:tbl>
    <w:p w14:paraId="002F4AB5"/>
    <w:tbl>
      <w:tblPr>
        <w:tblStyle w:val="7"/>
        <w:tblW w:w="128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9"/>
        <w:gridCol w:w="1867"/>
        <w:gridCol w:w="1708"/>
        <w:gridCol w:w="6700"/>
        <w:gridCol w:w="1417"/>
      </w:tblGrid>
      <w:tr w14:paraId="40880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1" w:hRule="atLeast"/>
          <w:jc w:val="center"/>
        </w:trPr>
        <w:tc>
          <w:tcPr>
            <w:tcW w:w="1149" w:type="dxa"/>
            <w:tcBorders>
              <w:tl2br w:val="nil"/>
              <w:tr2bl w:val="nil"/>
            </w:tcBorders>
            <w:noWrap w:val="0"/>
            <w:vAlign w:val="center"/>
          </w:tcPr>
          <w:p w14:paraId="0406BB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867" w:type="dxa"/>
            <w:vMerge w:val="restart"/>
            <w:tcBorders>
              <w:tl2br w:val="nil"/>
              <w:tr2bl w:val="nil"/>
            </w:tcBorders>
            <w:noWrap w:val="0"/>
            <w:vAlign w:val="center"/>
          </w:tcPr>
          <w:p w14:paraId="3A55EC8D">
            <w:pPr>
              <w:jc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二、关于检查学习贯彻习近平新时代中国特色社会主义思想和党的二十大和二十届二中、三中全会精神，加强政治建设方面的整改进展情况</w:t>
            </w:r>
          </w:p>
        </w:tc>
        <w:tc>
          <w:tcPr>
            <w:tcW w:w="1708" w:type="dxa"/>
            <w:tcBorders>
              <w:tl2br w:val="nil"/>
              <w:tr2bl w:val="nil"/>
            </w:tcBorders>
            <w:noWrap w:val="0"/>
            <w:vAlign w:val="center"/>
          </w:tcPr>
          <w:p w14:paraId="7DBEB048">
            <w:pPr>
              <w:jc w:val="left"/>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2.严管意识形态阵地</w:t>
            </w:r>
          </w:p>
        </w:tc>
        <w:tc>
          <w:tcPr>
            <w:tcW w:w="6700" w:type="dxa"/>
            <w:tcBorders>
              <w:tl2br w:val="nil"/>
              <w:tr2bl w:val="nil"/>
            </w:tcBorders>
            <w:noWrap w:val="0"/>
            <w:vAlign w:val="center"/>
          </w:tcPr>
          <w:p w14:paraId="6ACF35FF">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开展了政治规范用语专项排查整改，对错误表述进行了纠正，组织党员干部学习政治规范用语标准，建立材料审核把关机制，避免类似问题再次发生。</w:t>
            </w:r>
          </w:p>
        </w:tc>
        <w:tc>
          <w:tcPr>
            <w:tcW w:w="1417" w:type="dxa"/>
            <w:tcBorders>
              <w:tl2br w:val="nil"/>
              <w:tr2bl w:val="nil"/>
            </w:tcBorders>
            <w:noWrap/>
            <w:vAlign w:val="center"/>
          </w:tcPr>
          <w:p w14:paraId="65CFC0EC">
            <w:pPr>
              <w:rPr>
                <w:rFonts w:hint="default" w:ascii="Times New Roman" w:hAnsi="Times New Roman" w:eastAsia="宋体" w:cs="Times New Roman"/>
                <w:i w:val="0"/>
                <w:iCs w:val="0"/>
                <w:color w:val="000000"/>
                <w:sz w:val="24"/>
                <w:szCs w:val="24"/>
                <w:u w:val="none"/>
              </w:rPr>
            </w:pPr>
          </w:p>
        </w:tc>
      </w:tr>
      <w:tr w14:paraId="46EF4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0" w:hRule="atLeast"/>
          <w:jc w:val="center"/>
        </w:trPr>
        <w:tc>
          <w:tcPr>
            <w:tcW w:w="1149" w:type="dxa"/>
            <w:tcBorders>
              <w:tl2br w:val="nil"/>
              <w:tr2bl w:val="nil"/>
            </w:tcBorders>
            <w:noWrap w:val="0"/>
            <w:vAlign w:val="center"/>
          </w:tcPr>
          <w:p w14:paraId="18D854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867" w:type="dxa"/>
            <w:vMerge w:val="continue"/>
            <w:tcBorders>
              <w:tl2br w:val="nil"/>
              <w:tr2bl w:val="nil"/>
            </w:tcBorders>
            <w:noWrap w:val="0"/>
            <w:vAlign w:val="center"/>
          </w:tcPr>
          <w:p w14:paraId="1DDC86AD">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p>
        </w:tc>
        <w:tc>
          <w:tcPr>
            <w:tcW w:w="1708" w:type="dxa"/>
            <w:tcBorders>
              <w:tl2br w:val="nil"/>
              <w:tr2bl w:val="nil"/>
            </w:tcBorders>
            <w:noWrap w:val="0"/>
            <w:vAlign w:val="center"/>
          </w:tcPr>
          <w:p w14:paraId="26524FE7">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.规范村规民约制定</w:t>
            </w:r>
          </w:p>
        </w:tc>
        <w:tc>
          <w:tcPr>
            <w:tcW w:w="6700" w:type="dxa"/>
            <w:tcBorders>
              <w:tl2br w:val="nil"/>
              <w:tr2bl w:val="nil"/>
            </w:tcBorders>
            <w:noWrap w:val="0"/>
            <w:vAlign w:val="center"/>
          </w:tcPr>
          <w:p w14:paraId="7C5ADBCA">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一是修订了《黑山村村规民约》，将</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黑山村村民委员会组织法</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纠正为</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中华人民共和国村民委员会组织法</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并补充完善了乡村振兴、人居环境整治等相关内容，经村民代表会议表决通过后，在村务公开栏进行了更新公示。二是建立了村规民约宣传落实机制，通过网格宣讲、微信群推送等方式，确保村规民约家喻户晓、落地执行。</w:t>
            </w:r>
          </w:p>
        </w:tc>
        <w:tc>
          <w:tcPr>
            <w:tcW w:w="1417" w:type="dxa"/>
            <w:tcBorders>
              <w:tl2br w:val="nil"/>
              <w:tr2bl w:val="nil"/>
            </w:tcBorders>
            <w:noWrap/>
            <w:vAlign w:val="center"/>
          </w:tcPr>
          <w:p w14:paraId="18507429">
            <w:pPr>
              <w:rPr>
                <w:rFonts w:hint="default" w:ascii="Times New Roman" w:hAnsi="Times New Roman" w:eastAsia="宋体" w:cs="Times New Roman"/>
                <w:i w:val="0"/>
                <w:iCs w:val="0"/>
                <w:color w:val="000000"/>
                <w:sz w:val="24"/>
                <w:szCs w:val="24"/>
                <w:u w:val="none"/>
              </w:rPr>
            </w:pPr>
          </w:p>
        </w:tc>
      </w:tr>
      <w:tr w14:paraId="3B91C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1149" w:type="dxa"/>
            <w:tcBorders>
              <w:tl2br w:val="nil"/>
              <w:tr2bl w:val="nil"/>
            </w:tcBorders>
            <w:noWrap w:val="0"/>
            <w:vAlign w:val="center"/>
          </w:tcPr>
          <w:p w14:paraId="6295BB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867" w:type="dxa"/>
            <w:vMerge w:val="continue"/>
            <w:tcBorders>
              <w:tl2br w:val="nil"/>
              <w:tr2bl w:val="nil"/>
            </w:tcBorders>
            <w:noWrap w:val="0"/>
            <w:vAlign w:val="center"/>
          </w:tcPr>
          <w:p w14:paraId="7BD7F0BD">
            <w:pPr>
              <w:jc w:val="center"/>
              <w:rPr>
                <w:rFonts w:hint="default" w:ascii="Times New Roman" w:hAnsi="Times New Roman" w:eastAsia="方正仿宋简体" w:cs="Times New Roman"/>
                <w:i w:val="0"/>
                <w:iCs w:val="0"/>
                <w:color w:val="000000"/>
                <w:sz w:val="22"/>
                <w:szCs w:val="22"/>
                <w:u w:val="none"/>
              </w:rPr>
            </w:pPr>
          </w:p>
        </w:tc>
        <w:tc>
          <w:tcPr>
            <w:tcW w:w="1708" w:type="dxa"/>
            <w:tcBorders>
              <w:tl2br w:val="nil"/>
              <w:tr2bl w:val="nil"/>
            </w:tcBorders>
            <w:noWrap w:val="0"/>
            <w:vAlign w:val="center"/>
          </w:tcPr>
          <w:p w14:paraId="02C9700F">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4</w:t>
            </w:r>
            <w:r>
              <w:rPr>
                <w:rFonts w:hint="default" w:ascii="Times New Roman" w:hAnsi="Times New Roman" w:eastAsia="方正仿宋简体" w:cs="Times New Roman"/>
                <w:i w:val="0"/>
                <w:iCs w:val="0"/>
                <w:color w:val="000000"/>
                <w:kern w:val="0"/>
                <w:sz w:val="22"/>
                <w:szCs w:val="22"/>
                <w:u w:val="none"/>
                <w:lang w:val="en-US" w:eastAsia="zh-CN" w:bidi="ar"/>
              </w:rPr>
              <w:t>.加强惠民殡葬补助管理</w:t>
            </w:r>
          </w:p>
        </w:tc>
        <w:tc>
          <w:tcPr>
            <w:tcW w:w="6700" w:type="dxa"/>
            <w:tcBorders>
              <w:tl2br w:val="nil"/>
              <w:tr2bl w:val="nil"/>
            </w:tcBorders>
            <w:noWrap w:val="0"/>
            <w:vAlign w:val="center"/>
          </w:tcPr>
          <w:p w14:paraId="4B5F0925">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一是依法依规追回重复领取的节地生态安葬补助，</w:t>
            </w:r>
            <w:r>
              <w:rPr>
                <w:rFonts w:hint="eastAsia" w:ascii="方正仿宋简体" w:hAnsi="方正仿宋简体" w:eastAsia="方正仿宋简体" w:cs="方正仿宋简体"/>
                <w:b w:val="0"/>
                <w:bCs w:val="0"/>
                <w:i w:val="0"/>
                <w:iCs w:val="0"/>
                <w:color w:val="000000"/>
                <w:kern w:val="0"/>
                <w:sz w:val="22"/>
                <w:szCs w:val="22"/>
                <w:highlight w:val="none"/>
                <w:u w:val="none"/>
                <w:lang w:val="en-US" w:eastAsia="zh-CN" w:bidi="ar"/>
              </w:rPr>
              <w:t>现已存入县民政局指定账户</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。二是建立了惠民补助审核台账，明确工作人员交叉审核补助材料，核对申请信息、死亡证明、安葬证明等关键资料，杜绝重复发放问题。</w:t>
            </w:r>
          </w:p>
        </w:tc>
        <w:tc>
          <w:tcPr>
            <w:tcW w:w="1417" w:type="dxa"/>
            <w:tcBorders>
              <w:tl2br w:val="nil"/>
              <w:tr2bl w:val="nil"/>
            </w:tcBorders>
            <w:noWrap/>
            <w:vAlign w:val="center"/>
          </w:tcPr>
          <w:p w14:paraId="6A792952">
            <w:pPr>
              <w:rPr>
                <w:rFonts w:hint="default" w:ascii="Times New Roman" w:hAnsi="Times New Roman" w:eastAsia="宋体" w:cs="Times New Roman"/>
                <w:i w:val="0"/>
                <w:iCs w:val="0"/>
                <w:color w:val="000000"/>
                <w:sz w:val="24"/>
                <w:szCs w:val="24"/>
                <w:u w:val="none"/>
              </w:rPr>
            </w:pPr>
          </w:p>
        </w:tc>
      </w:tr>
      <w:tr w14:paraId="0356E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1149" w:type="dxa"/>
            <w:tcBorders>
              <w:tl2br w:val="nil"/>
              <w:tr2bl w:val="nil"/>
            </w:tcBorders>
            <w:noWrap w:val="0"/>
            <w:vAlign w:val="center"/>
          </w:tcPr>
          <w:p w14:paraId="78F267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867" w:type="dxa"/>
            <w:vMerge w:val="continue"/>
            <w:tcBorders>
              <w:tl2br w:val="nil"/>
              <w:tr2bl w:val="nil"/>
            </w:tcBorders>
            <w:noWrap w:val="0"/>
            <w:vAlign w:val="center"/>
          </w:tcPr>
          <w:p w14:paraId="6115EFDB">
            <w:pPr>
              <w:jc w:val="center"/>
              <w:rPr>
                <w:rFonts w:hint="default" w:ascii="Times New Roman" w:hAnsi="Times New Roman" w:eastAsia="方正仿宋简体" w:cs="Times New Roman"/>
                <w:i w:val="0"/>
                <w:iCs w:val="0"/>
                <w:color w:val="000000"/>
                <w:sz w:val="22"/>
                <w:szCs w:val="22"/>
                <w:u w:val="none"/>
              </w:rPr>
            </w:pPr>
          </w:p>
        </w:tc>
        <w:tc>
          <w:tcPr>
            <w:tcW w:w="1708" w:type="dxa"/>
            <w:tcBorders>
              <w:tl2br w:val="nil"/>
              <w:tr2bl w:val="nil"/>
            </w:tcBorders>
            <w:noWrap w:val="0"/>
            <w:vAlign w:val="center"/>
          </w:tcPr>
          <w:p w14:paraId="63D78F01">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5</w:t>
            </w:r>
            <w:r>
              <w:rPr>
                <w:rFonts w:hint="default" w:ascii="Times New Roman" w:hAnsi="Times New Roman" w:eastAsia="方正仿宋简体" w:cs="Times New Roman"/>
                <w:i w:val="0"/>
                <w:iCs w:val="0"/>
                <w:color w:val="000000"/>
                <w:kern w:val="0"/>
                <w:sz w:val="22"/>
                <w:szCs w:val="22"/>
                <w:u w:val="none"/>
                <w:lang w:val="en-US" w:eastAsia="zh-CN" w:bidi="ar"/>
              </w:rPr>
              <w:t>.持续整改养殖小区闲置</w:t>
            </w:r>
          </w:p>
        </w:tc>
        <w:tc>
          <w:tcPr>
            <w:tcW w:w="6700" w:type="dxa"/>
            <w:tcBorders>
              <w:tl2br w:val="nil"/>
              <w:tr2bl w:val="nil"/>
            </w:tcBorders>
            <w:noWrap w:val="0"/>
            <w:vAlign w:val="center"/>
          </w:tcPr>
          <w:p w14:paraId="315BD09A">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一是已完成</w:t>
            </w:r>
            <w:r>
              <w:rPr>
                <w:rStyle w:val="12"/>
                <w:rFonts w:eastAsia="宋体"/>
                <w:b w:val="0"/>
                <w:bCs w:val="0"/>
                <w:sz w:val="22"/>
                <w:szCs w:val="22"/>
                <w:lang w:val="en-US" w:eastAsia="zh-CN" w:bidi="ar"/>
              </w:rPr>
              <w:t>3</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个养殖小区闲置情况排查，制定盘活利用方案，对接县农业农村局争取养殖技术支持，组织养殖户开展技能培训。二是积极动员农户根据实际情况养殖鸡、鸭、鹅等，合理利用闲置棚舍。</w:t>
            </w:r>
          </w:p>
        </w:tc>
        <w:tc>
          <w:tcPr>
            <w:tcW w:w="1417" w:type="dxa"/>
            <w:tcBorders>
              <w:tl2br w:val="nil"/>
              <w:tr2bl w:val="nil"/>
            </w:tcBorders>
            <w:noWrap/>
            <w:vAlign w:val="center"/>
          </w:tcPr>
          <w:p w14:paraId="739CC06F">
            <w:pPr>
              <w:rPr>
                <w:rFonts w:hint="default" w:ascii="Times New Roman" w:hAnsi="Times New Roman" w:eastAsia="宋体" w:cs="Times New Roman"/>
                <w:i w:val="0"/>
                <w:iCs w:val="0"/>
                <w:color w:val="000000"/>
                <w:sz w:val="24"/>
                <w:szCs w:val="24"/>
                <w:u w:val="none"/>
              </w:rPr>
            </w:pPr>
          </w:p>
        </w:tc>
      </w:tr>
      <w:tr w14:paraId="5ACDB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2" w:hRule="atLeast"/>
          <w:jc w:val="center"/>
        </w:trPr>
        <w:tc>
          <w:tcPr>
            <w:tcW w:w="1149" w:type="dxa"/>
            <w:tcBorders>
              <w:tl2br w:val="nil"/>
              <w:tr2bl w:val="nil"/>
            </w:tcBorders>
            <w:noWrap w:val="0"/>
            <w:vAlign w:val="center"/>
          </w:tcPr>
          <w:p w14:paraId="23010A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867" w:type="dxa"/>
            <w:vMerge w:val="continue"/>
            <w:tcBorders>
              <w:tl2br w:val="nil"/>
              <w:tr2bl w:val="nil"/>
            </w:tcBorders>
            <w:noWrap w:val="0"/>
            <w:vAlign w:val="center"/>
          </w:tcPr>
          <w:p w14:paraId="357692D5">
            <w:pPr>
              <w:jc w:val="center"/>
              <w:rPr>
                <w:rFonts w:hint="default" w:ascii="Times New Roman" w:hAnsi="Times New Roman" w:eastAsia="方正仿宋简体" w:cs="Times New Roman"/>
                <w:i w:val="0"/>
                <w:iCs w:val="0"/>
                <w:color w:val="000000"/>
                <w:sz w:val="22"/>
                <w:szCs w:val="22"/>
                <w:u w:val="none"/>
              </w:rPr>
            </w:pPr>
          </w:p>
        </w:tc>
        <w:tc>
          <w:tcPr>
            <w:tcW w:w="1708" w:type="dxa"/>
            <w:tcBorders>
              <w:tl2br w:val="nil"/>
              <w:tr2bl w:val="nil"/>
            </w:tcBorders>
            <w:noWrap w:val="0"/>
            <w:vAlign w:val="center"/>
          </w:tcPr>
          <w:p w14:paraId="5BFAC276">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6.</w:t>
            </w:r>
            <w:r>
              <w:rPr>
                <w:rFonts w:hint="default" w:ascii="Times New Roman" w:hAnsi="Times New Roman" w:eastAsia="方正仿宋简体" w:cs="Times New Roman"/>
                <w:i w:val="0"/>
                <w:iCs w:val="0"/>
                <w:color w:val="000000"/>
                <w:kern w:val="0"/>
                <w:sz w:val="22"/>
                <w:szCs w:val="22"/>
                <w:u w:val="none"/>
                <w:lang w:val="en-US" w:eastAsia="zh-CN" w:bidi="ar"/>
              </w:rPr>
              <w:t>持续治理人居环境</w:t>
            </w:r>
          </w:p>
        </w:tc>
        <w:tc>
          <w:tcPr>
            <w:tcW w:w="6700" w:type="dxa"/>
            <w:tcBorders>
              <w:tl2br w:val="nil"/>
              <w:tr2bl w:val="nil"/>
            </w:tcBorders>
            <w:noWrap w:val="0"/>
            <w:vAlign w:val="center"/>
          </w:tcPr>
          <w:p w14:paraId="797F3361">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一是开展了人居环境整治专项行动，组织党员干部、村民志愿者清理道路旁林地露天垃圾。二是每周开展</w:t>
            </w:r>
            <w:r>
              <w:rPr>
                <w:rStyle w:val="12"/>
                <w:rFonts w:eastAsia="宋体"/>
                <w:b w:val="0"/>
                <w:bCs w:val="0"/>
                <w:sz w:val="22"/>
                <w:szCs w:val="22"/>
                <w:lang w:val="en-US" w:eastAsia="zh-CN" w:bidi="ar"/>
              </w:rPr>
              <w:t>1</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次人居环境整治，对后续所产生垃圾进行填埋或焚烧，引导村民养成良好卫生习惯。</w:t>
            </w:r>
          </w:p>
        </w:tc>
        <w:tc>
          <w:tcPr>
            <w:tcW w:w="1417" w:type="dxa"/>
            <w:tcBorders>
              <w:tl2br w:val="nil"/>
              <w:tr2bl w:val="nil"/>
            </w:tcBorders>
            <w:noWrap/>
            <w:vAlign w:val="center"/>
          </w:tcPr>
          <w:p w14:paraId="63C19587">
            <w:pPr>
              <w:rPr>
                <w:rFonts w:hint="default" w:ascii="Times New Roman" w:hAnsi="Times New Roman" w:eastAsia="宋体" w:cs="Times New Roman"/>
                <w:i w:val="0"/>
                <w:iCs w:val="0"/>
                <w:color w:val="000000"/>
                <w:sz w:val="24"/>
                <w:szCs w:val="24"/>
                <w:u w:val="none"/>
              </w:rPr>
            </w:pPr>
          </w:p>
        </w:tc>
      </w:tr>
      <w:tr w14:paraId="38260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4" w:hRule="atLeast"/>
          <w:jc w:val="center"/>
        </w:trPr>
        <w:tc>
          <w:tcPr>
            <w:tcW w:w="1149" w:type="dxa"/>
            <w:tcBorders>
              <w:tl2br w:val="nil"/>
              <w:tr2bl w:val="nil"/>
            </w:tcBorders>
            <w:noWrap w:val="0"/>
            <w:vAlign w:val="center"/>
          </w:tcPr>
          <w:p w14:paraId="327110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867" w:type="dxa"/>
            <w:tcBorders>
              <w:tl2br w:val="nil"/>
              <w:tr2bl w:val="nil"/>
            </w:tcBorders>
            <w:noWrap w:val="0"/>
            <w:vAlign w:val="center"/>
          </w:tcPr>
          <w:p w14:paraId="281EFE18">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三</w:t>
            </w:r>
            <w:r>
              <w:rPr>
                <w:rFonts w:hint="default" w:ascii="Times New Roman" w:hAnsi="Times New Roman" w:eastAsia="方正仿宋简体" w:cs="Times New Roman"/>
                <w:i w:val="0"/>
                <w:iCs w:val="0"/>
                <w:color w:val="000000"/>
                <w:kern w:val="0"/>
                <w:sz w:val="22"/>
                <w:szCs w:val="22"/>
                <w:u w:val="none"/>
                <w:lang w:val="en-US" w:eastAsia="zh-CN" w:bidi="ar"/>
              </w:rPr>
              <w:t>、关于检查防范化解重大风险，维护社会大局和谐稳定方面的整改进展情况</w:t>
            </w:r>
          </w:p>
        </w:tc>
        <w:tc>
          <w:tcPr>
            <w:tcW w:w="1708" w:type="dxa"/>
            <w:tcBorders>
              <w:tl2br w:val="nil"/>
              <w:tr2bl w:val="nil"/>
            </w:tcBorders>
            <w:noWrap w:val="0"/>
            <w:vAlign w:val="center"/>
          </w:tcPr>
          <w:p w14:paraId="5A1122A7">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常态化推进扫</w:t>
            </w:r>
            <w:r>
              <w:rPr>
                <w:rFonts w:hint="default" w:ascii="Times New Roman" w:hAnsi="Times New Roman" w:eastAsia="方正仿宋简体" w:cs="Times New Roman"/>
                <w:i w:val="0"/>
                <w:iCs w:val="0"/>
                <w:color w:val="000000"/>
                <w:spacing w:val="-6"/>
                <w:kern w:val="0"/>
                <w:sz w:val="22"/>
                <w:szCs w:val="22"/>
                <w:u w:val="none"/>
                <w:lang w:val="en-US" w:eastAsia="zh-CN" w:bidi="ar"/>
              </w:rPr>
              <w:t>黑除恶斗争工作</w:t>
            </w:r>
          </w:p>
        </w:tc>
        <w:tc>
          <w:tcPr>
            <w:tcW w:w="6700" w:type="dxa"/>
            <w:tcBorders>
              <w:tl2br w:val="nil"/>
              <w:tr2bl w:val="nil"/>
            </w:tcBorders>
            <w:noWrap w:val="0"/>
            <w:vAlign w:val="center"/>
          </w:tcPr>
          <w:p w14:paraId="726F8C49">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一是重新配置了扫黑除恶举报箱钥匙，对举报箱进行全面检查维护，明确了专人负责每周开箱查看</w:t>
            </w:r>
            <w:r>
              <w:rPr>
                <w:rStyle w:val="12"/>
                <w:rFonts w:eastAsia="宋体"/>
                <w:b w:val="0"/>
                <w:bCs w:val="0"/>
                <w:sz w:val="22"/>
                <w:szCs w:val="22"/>
                <w:lang w:val="en-US" w:eastAsia="zh-CN" w:bidi="ar"/>
              </w:rPr>
              <w:t>1</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次，做好登记记录。二是在村务公开栏、网格微信群公布举报电话和举报方式，开展扫黑除恶政策宣传</w:t>
            </w:r>
            <w:r>
              <w:rPr>
                <w:rStyle w:val="12"/>
                <w:rFonts w:eastAsia="宋体"/>
                <w:b w:val="0"/>
                <w:bCs w:val="0"/>
                <w:sz w:val="22"/>
                <w:szCs w:val="22"/>
                <w:lang w:val="en-US" w:eastAsia="zh-CN" w:bidi="ar"/>
              </w:rPr>
              <w:t>3</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场次，提升村民知晓率和参与度，推动扫黑除恶斗争常态化、制度化。</w:t>
            </w:r>
          </w:p>
        </w:tc>
        <w:tc>
          <w:tcPr>
            <w:tcW w:w="1417" w:type="dxa"/>
            <w:tcBorders>
              <w:tl2br w:val="nil"/>
              <w:tr2bl w:val="nil"/>
            </w:tcBorders>
            <w:noWrap/>
            <w:vAlign w:val="center"/>
          </w:tcPr>
          <w:p w14:paraId="71D25C18">
            <w:pPr>
              <w:rPr>
                <w:rFonts w:hint="default" w:ascii="Times New Roman" w:hAnsi="Times New Roman" w:eastAsia="宋体" w:cs="Times New Roman"/>
                <w:i w:val="0"/>
                <w:iCs w:val="0"/>
                <w:color w:val="000000"/>
                <w:sz w:val="24"/>
                <w:szCs w:val="24"/>
                <w:u w:val="none"/>
              </w:rPr>
            </w:pPr>
          </w:p>
        </w:tc>
      </w:tr>
      <w:tr w14:paraId="19E67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2" w:hRule="atLeast"/>
          <w:jc w:val="center"/>
        </w:trPr>
        <w:tc>
          <w:tcPr>
            <w:tcW w:w="1149" w:type="dxa"/>
            <w:tcBorders>
              <w:tl2br w:val="nil"/>
              <w:tr2bl w:val="nil"/>
            </w:tcBorders>
            <w:noWrap w:val="0"/>
            <w:vAlign w:val="center"/>
          </w:tcPr>
          <w:p w14:paraId="77B909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867" w:type="dxa"/>
            <w:vMerge w:val="restart"/>
            <w:tcBorders>
              <w:tl2br w:val="nil"/>
              <w:tr2bl w:val="nil"/>
            </w:tcBorders>
            <w:noWrap w:val="0"/>
            <w:vAlign w:val="center"/>
          </w:tcPr>
          <w:p w14:paraId="7B52FB3E">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四</w:t>
            </w:r>
            <w:r>
              <w:rPr>
                <w:rFonts w:hint="default" w:ascii="Times New Roman" w:hAnsi="Times New Roman" w:eastAsia="方正仿宋简体" w:cs="Times New Roman"/>
                <w:i w:val="0"/>
                <w:iCs w:val="0"/>
                <w:color w:val="000000"/>
                <w:kern w:val="0"/>
                <w:sz w:val="22"/>
                <w:szCs w:val="22"/>
                <w:u w:val="none"/>
                <w:lang w:val="en-US" w:eastAsia="zh-CN" w:bidi="ar"/>
              </w:rPr>
              <w:t>、关于检查落实全面从严治党责任、推进党风廉政建设和反腐败斗争方面的整改进展情况</w:t>
            </w:r>
          </w:p>
        </w:tc>
        <w:tc>
          <w:tcPr>
            <w:tcW w:w="1708" w:type="dxa"/>
            <w:vMerge w:val="restart"/>
            <w:tcBorders>
              <w:tl2br w:val="nil"/>
              <w:tr2bl w:val="nil"/>
            </w:tcBorders>
            <w:noWrap w:val="0"/>
            <w:vAlign w:val="center"/>
          </w:tcPr>
          <w:p w14:paraId="3A0B67BB">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扛牢全面从严治党政治责任</w:t>
            </w:r>
          </w:p>
        </w:tc>
        <w:tc>
          <w:tcPr>
            <w:tcW w:w="6700" w:type="dxa"/>
            <w:tcBorders>
              <w:tl2br w:val="nil"/>
              <w:tr2bl w:val="nil"/>
            </w:tcBorders>
            <w:noWrap w:val="0"/>
            <w:vAlign w:val="center"/>
          </w:tcPr>
          <w:p w14:paraId="235B8B00">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组织召开了全面从严治党专题会议，组织村</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干部、村民小组组长学习党纪法规和典型案例，结合</w:t>
            </w:r>
            <w:r>
              <w:rPr>
                <w:rStyle w:val="12"/>
                <w:rFonts w:eastAsia="宋体"/>
                <w:b w:val="0"/>
                <w:bCs w:val="0"/>
                <w:sz w:val="22"/>
                <w:szCs w:val="22"/>
                <w:lang w:val="en-US" w:eastAsia="zh-CN" w:bidi="ar"/>
              </w:rPr>
              <w:t>9</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名组干部违规使用集体资金案例开展警示教育</w:t>
            </w:r>
            <w:r>
              <w:rPr>
                <w:rStyle w:val="12"/>
                <w:rFonts w:eastAsia="宋体"/>
                <w:b w:val="0"/>
                <w:bCs w:val="0"/>
                <w:sz w:val="22"/>
                <w:szCs w:val="22"/>
                <w:lang w:val="en-US" w:eastAsia="zh-CN" w:bidi="ar"/>
              </w:rPr>
              <w:t>2</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w:t>
            </w:r>
          </w:p>
        </w:tc>
        <w:tc>
          <w:tcPr>
            <w:tcW w:w="1417" w:type="dxa"/>
            <w:tcBorders>
              <w:tl2br w:val="nil"/>
              <w:tr2bl w:val="nil"/>
            </w:tcBorders>
            <w:noWrap/>
            <w:vAlign w:val="center"/>
          </w:tcPr>
          <w:p w14:paraId="461679D6">
            <w:pPr>
              <w:rPr>
                <w:rFonts w:hint="default" w:ascii="Times New Roman" w:hAnsi="Times New Roman" w:eastAsia="宋体" w:cs="Times New Roman"/>
                <w:i w:val="0"/>
                <w:iCs w:val="0"/>
                <w:color w:val="000000"/>
                <w:sz w:val="24"/>
                <w:szCs w:val="24"/>
                <w:u w:val="none"/>
              </w:rPr>
            </w:pPr>
          </w:p>
        </w:tc>
      </w:tr>
      <w:tr w14:paraId="2D037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4" w:hRule="atLeast"/>
          <w:jc w:val="center"/>
        </w:trPr>
        <w:tc>
          <w:tcPr>
            <w:tcW w:w="1149" w:type="dxa"/>
            <w:tcBorders>
              <w:tl2br w:val="nil"/>
              <w:tr2bl w:val="nil"/>
            </w:tcBorders>
            <w:noWrap w:val="0"/>
            <w:vAlign w:val="center"/>
          </w:tcPr>
          <w:p w14:paraId="116FA8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867" w:type="dxa"/>
            <w:vMerge w:val="continue"/>
            <w:tcBorders>
              <w:tl2br w:val="nil"/>
              <w:tr2bl w:val="nil"/>
            </w:tcBorders>
            <w:noWrap w:val="0"/>
            <w:vAlign w:val="center"/>
          </w:tcPr>
          <w:p w14:paraId="1F29A122">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l2br w:val="nil"/>
              <w:tr2bl w:val="nil"/>
            </w:tcBorders>
            <w:noWrap w:val="0"/>
            <w:vAlign w:val="center"/>
          </w:tcPr>
          <w:p w14:paraId="7DF20EA9">
            <w:pPr>
              <w:rPr>
                <w:rFonts w:hint="default" w:ascii="Times New Roman" w:hAnsi="Times New Roman" w:eastAsia="方正仿宋简体" w:cs="Times New Roman"/>
                <w:i w:val="0"/>
                <w:iCs w:val="0"/>
                <w:color w:val="000000"/>
                <w:sz w:val="22"/>
                <w:szCs w:val="22"/>
                <w:u w:val="none"/>
              </w:rPr>
            </w:pPr>
          </w:p>
        </w:tc>
        <w:tc>
          <w:tcPr>
            <w:tcW w:w="6700" w:type="dxa"/>
            <w:tcBorders>
              <w:tl2br w:val="nil"/>
              <w:tr2bl w:val="nil"/>
            </w:tcBorders>
            <w:noWrap w:val="0"/>
            <w:vAlign w:val="center"/>
          </w:tcPr>
          <w:p w14:paraId="2BB43C33">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乡纪委对违规开具发票的村干部进行约谈，责令其退还手续费，取消其今后村级项目发票开具资格；建立村级发票开具审核机制，明确发票开具必须提供真实业务合同、结算凭证等相关凭证，杜绝虚假开票行为。</w:t>
            </w:r>
          </w:p>
        </w:tc>
        <w:tc>
          <w:tcPr>
            <w:tcW w:w="1417" w:type="dxa"/>
            <w:tcBorders>
              <w:tl2br w:val="nil"/>
              <w:tr2bl w:val="nil"/>
            </w:tcBorders>
            <w:noWrap/>
            <w:vAlign w:val="center"/>
          </w:tcPr>
          <w:p w14:paraId="5A3B2864">
            <w:pPr>
              <w:rPr>
                <w:rFonts w:hint="default" w:ascii="Times New Roman" w:hAnsi="Times New Roman" w:eastAsia="宋体" w:cs="Times New Roman"/>
                <w:i w:val="0"/>
                <w:iCs w:val="0"/>
                <w:color w:val="000000"/>
                <w:sz w:val="24"/>
                <w:szCs w:val="24"/>
                <w:u w:val="none"/>
              </w:rPr>
            </w:pPr>
          </w:p>
        </w:tc>
      </w:tr>
      <w:tr w14:paraId="12CBD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3" w:hRule="atLeast"/>
          <w:jc w:val="center"/>
        </w:trPr>
        <w:tc>
          <w:tcPr>
            <w:tcW w:w="1149" w:type="dxa"/>
            <w:tcBorders>
              <w:tl2br w:val="nil"/>
              <w:tr2bl w:val="nil"/>
            </w:tcBorders>
            <w:noWrap w:val="0"/>
            <w:vAlign w:val="center"/>
          </w:tcPr>
          <w:p w14:paraId="62D3B5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867" w:type="dxa"/>
            <w:tcBorders>
              <w:tl2br w:val="nil"/>
              <w:tr2bl w:val="nil"/>
            </w:tcBorders>
            <w:noWrap w:val="0"/>
            <w:vAlign w:val="center"/>
          </w:tcPr>
          <w:p w14:paraId="2E0DCF4B">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五</w:t>
            </w:r>
            <w:r>
              <w:rPr>
                <w:rFonts w:hint="default" w:ascii="Times New Roman" w:hAnsi="Times New Roman" w:eastAsia="方正仿宋简体" w:cs="Times New Roman"/>
                <w:i w:val="0"/>
                <w:iCs w:val="0"/>
                <w:color w:val="000000"/>
                <w:kern w:val="0"/>
                <w:sz w:val="22"/>
                <w:szCs w:val="22"/>
                <w:u w:val="none"/>
                <w:lang w:val="en-US" w:eastAsia="zh-CN" w:bidi="ar"/>
              </w:rPr>
              <w:t>、关于检查加强廉洁风险防控，落实中央八项规定精神方面的整改进展情况</w:t>
            </w:r>
          </w:p>
        </w:tc>
        <w:tc>
          <w:tcPr>
            <w:tcW w:w="1708" w:type="dxa"/>
            <w:tcBorders>
              <w:tl2br w:val="nil"/>
              <w:tr2bl w:val="nil"/>
            </w:tcBorders>
            <w:noWrap w:val="0"/>
            <w:vAlign w:val="center"/>
          </w:tcPr>
          <w:p w14:paraId="3178596B">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1.强化管理小组资金坐收坐支</w:t>
            </w:r>
          </w:p>
        </w:tc>
        <w:tc>
          <w:tcPr>
            <w:tcW w:w="6700" w:type="dxa"/>
            <w:tcBorders>
              <w:tl2br w:val="nil"/>
              <w:tr2bl w:val="nil"/>
            </w:tcBorders>
            <w:noWrap w:val="0"/>
            <w:vAlign w:val="center"/>
          </w:tcPr>
          <w:p w14:paraId="3FA32BF0">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一是加大村组干部财务业务培训，进一步理清小组资金支出使用情况。二是建立了小组资金管理办法，实行</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收支两条线</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管理，严禁坐收坐支，每月对小组资金使用情况进行核查。</w:t>
            </w:r>
          </w:p>
        </w:tc>
        <w:tc>
          <w:tcPr>
            <w:tcW w:w="1417" w:type="dxa"/>
            <w:tcBorders>
              <w:tl2br w:val="nil"/>
              <w:tr2bl w:val="nil"/>
            </w:tcBorders>
            <w:noWrap/>
            <w:vAlign w:val="center"/>
          </w:tcPr>
          <w:p w14:paraId="46A4EA34">
            <w:pPr>
              <w:rPr>
                <w:rFonts w:hint="default" w:ascii="Times New Roman" w:hAnsi="Times New Roman" w:eastAsia="宋体" w:cs="Times New Roman"/>
                <w:i w:val="0"/>
                <w:iCs w:val="0"/>
                <w:color w:val="000000"/>
                <w:sz w:val="24"/>
                <w:szCs w:val="24"/>
                <w:u w:val="none"/>
              </w:rPr>
            </w:pPr>
          </w:p>
        </w:tc>
      </w:tr>
    </w:tbl>
    <w:p w14:paraId="7C765E8C"/>
    <w:tbl>
      <w:tblPr>
        <w:tblStyle w:val="7"/>
        <w:tblW w:w="128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9"/>
        <w:gridCol w:w="1867"/>
        <w:gridCol w:w="1708"/>
        <w:gridCol w:w="6700"/>
        <w:gridCol w:w="1417"/>
      </w:tblGrid>
      <w:tr w14:paraId="279DC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7" w:hRule="atLeast"/>
          <w:jc w:val="center"/>
        </w:trPr>
        <w:tc>
          <w:tcPr>
            <w:tcW w:w="1149" w:type="dxa"/>
            <w:tcBorders>
              <w:tl2br w:val="nil"/>
              <w:tr2bl w:val="nil"/>
            </w:tcBorders>
            <w:noWrap w:val="0"/>
            <w:vAlign w:val="center"/>
          </w:tcPr>
          <w:p w14:paraId="28C902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867" w:type="dxa"/>
            <w:vMerge w:val="restart"/>
            <w:tcBorders>
              <w:tl2br w:val="nil"/>
              <w:tr2bl w:val="nil"/>
            </w:tcBorders>
            <w:noWrap w:val="0"/>
            <w:vAlign w:val="center"/>
          </w:tcPr>
          <w:p w14:paraId="61CEAECE">
            <w:pPr>
              <w:jc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五</w:t>
            </w:r>
            <w:r>
              <w:rPr>
                <w:rFonts w:hint="default" w:ascii="Times New Roman" w:hAnsi="Times New Roman" w:eastAsia="方正仿宋简体" w:cs="Times New Roman"/>
                <w:i w:val="0"/>
                <w:iCs w:val="0"/>
                <w:color w:val="000000"/>
                <w:kern w:val="0"/>
                <w:sz w:val="22"/>
                <w:szCs w:val="22"/>
                <w:u w:val="none"/>
                <w:lang w:val="en-US" w:eastAsia="zh-CN" w:bidi="ar"/>
              </w:rPr>
              <w:t>、关于检查加强廉洁风险防控，落实中央八项规定精神方面的整改进展情况</w:t>
            </w:r>
          </w:p>
        </w:tc>
        <w:tc>
          <w:tcPr>
            <w:tcW w:w="1708" w:type="dxa"/>
            <w:tcBorders>
              <w:tl2br w:val="nil"/>
              <w:tr2bl w:val="nil"/>
            </w:tcBorders>
            <w:noWrap w:val="0"/>
            <w:vAlign w:val="center"/>
          </w:tcPr>
          <w:p w14:paraId="05E9796E">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2.严格管理集体资金</w:t>
            </w:r>
          </w:p>
        </w:tc>
        <w:tc>
          <w:tcPr>
            <w:tcW w:w="6700" w:type="dxa"/>
            <w:tcBorders>
              <w:tl2br w:val="nil"/>
              <w:tr2bl w:val="nil"/>
            </w:tcBorders>
            <w:noWrap w:val="0"/>
            <w:vAlign w:val="center"/>
          </w:tcPr>
          <w:p w14:paraId="0BF8C705">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一是对小组集体资金使用问题进行了全面核查，召开村民小组专题会议通报了问题情况，责令相关责任人作出书面检查。二是规范了</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一事一议</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决策流程，明确集体资金使用、资产处置等重大事项必须经村民小组会议表决通过，留存完整会议记录、签到表、公示材料等，报村党组织备案审核。</w:t>
            </w:r>
          </w:p>
        </w:tc>
        <w:tc>
          <w:tcPr>
            <w:tcW w:w="1417" w:type="dxa"/>
            <w:tcBorders>
              <w:tl2br w:val="nil"/>
              <w:tr2bl w:val="nil"/>
            </w:tcBorders>
            <w:noWrap/>
            <w:vAlign w:val="center"/>
          </w:tcPr>
          <w:p w14:paraId="7EBC2F27">
            <w:pPr>
              <w:rPr>
                <w:rFonts w:hint="default" w:ascii="Times New Roman" w:hAnsi="Times New Roman" w:eastAsia="宋体" w:cs="Times New Roman"/>
                <w:i w:val="0"/>
                <w:iCs w:val="0"/>
                <w:color w:val="000000"/>
                <w:sz w:val="24"/>
                <w:szCs w:val="24"/>
                <w:u w:val="none"/>
              </w:rPr>
            </w:pPr>
          </w:p>
        </w:tc>
      </w:tr>
      <w:tr w14:paraId="23A40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2" w:hRule="atLeast"/>
          <w:jc w:val="center"/>
        </w:trPr>
        <w:tc>
          <w:tcPr>
            <w:tcW w:w="1149" w:type="dxa"/>
            <w:tcBorders>
              <w:tl2br w:val="nil"/>
              <w:tr2bl w:val="nil"/>
            </w:tcBorders>
            <w:noWrap w:val="0"/>
            <w:vAlign w:val="center"/>
          </w:tcPr>
          <w:p w14:paraId="5E137C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867" w:type="dxa"/>
            <w:vMerge w:val="continue"/>
            <w:tcBorders>
              <w:tl2br w:val="nil"/>
              <w:tr2bl w:val="nil"/>
            </w:tcBorders>
            <w:noWrap w:val="0"/>
            <w:vAlign w:val="center"/>
          </w:tcPr>
          <w:p w14:paraId="5D3AD41C">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p>
        </w:tc>
        <w:tc>
          <w:tcPr>
            <w:tcW w:w="1708" w:type="dxa"/>
            <w:vMerge w:val="restart"/>
            <w:tcBorders>
              <w:tl2br w:val="nil"/>
              <w:tr2bl w:val="nil"/>
            </w:tcBorders>
            <w:noWrap w:val="0"/>
            <w:vAlign w:val="center"/>
          </w:tcPr>
          <w:p w14:paraId="0645E269">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.严格执行财务制度</w:t>
            </w:r>
          </w:p>
        </w:tc>
        <w:tc>
          <w:tcPr>
            <w:tcW w:w="6700" w:type="dxa"/>
            <w:tcBorders>
              <w:tl2br w:val="nil"/>
              <w:tr2bl w:val="nil"/>
            </w:tcBorders>
            <w:noWrap w:val="0"/>
            <w:vAlign w:val="center"/>
          </w:tcPr>
          <w:p w14:paraId="60E730C4">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对报销账实不符问题进行了整改，完善报销材料，对相关责任人进行约谈提醒；建立了财务报销</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双人审核</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制度，明确报销凭证需经村民小组组长、村务监督委员会成员共同审核签字。</w:t>
            </w:r>
          </w:p>
        </w:tc>
        <w:tc>
          <w:tcPr>
            <w:tcW w:w="1417" w:type="dxa"/>
            <w:tcBorders>
              <w:tl2br w:val="nil"/>
              <w:tr2bl w:val="nil"/>
            </w:tcBorders>
            <w:noWrap/>
            <w:vAlign w:val="center"/>
          </w:tcPr>
          <w:p w14:paraId="37F939D3">
            <w:pPr>
              <w:rPr>
                <w:rFonts w:hint="default" w:ascii="Times New Roman" w:hAnsi="Times New Roman" w:eastAsia="宋体" w:cs="Times New Roman"/>
                <w:i w:val="0"/>
                <w:iCs w:val="0"/>
                <w:color w:val="000000"/>
                <w:sz w:val="24"/>
                <w:szCs w:val="24"/>
                <w:u w:val="none"/>
              </w:rPr>
            </w:pPr>
          </w:p>
        </w:tc>
      </w:tr>
      <w:tr w14:paraId="2903C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5" w:hRule="atLeast"/>
          <w:jc w:val="center"/>
        </w:trPr>
        <w:tc>
          <w:tcPr>
            <w:tcW w:w="1149" w:type="dxa"/>
            <w:tcBorders>
              <w:tl2br w:val="nil"/>
              <w:tr2bl w:val="nil"/>
            </w:tcBorders>
            <w:noWrap w:val="0"/>
            <w:vAlign w:val="center"/>
          </w:tcPr>
          <w:p w14:paraId="4591B2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867" w:type="dxa"/>
            <w:vMerge w:val="continue"/>
            <w:tcBorders>
              <w:tl2br w:val="nil"/>
              <w:tr2bl w:val="nil"/>
            </w:tcBorders>
            <w:noWrap w:val="0"/>
            <w:vAlign w:val="center"/>
          </w:tcPr>
          <w:p w14:paraId="29C31609">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l2br w:val="nil"/>
              <w:tr2bl w:val="nil"/>
            </w:tcBorders>
            <w:noWrap w:val="0"/>
            <w:vAlign w:val="center"/>
          </w:tcPr>
          <w:p w14:paraId="6D6C0873">
            <w:pPr>
              <w:rPr>
                <w:rFonts w:hint="default" w:ascii="Times New Roman" w:hAnsi="Times New Roman" w:eastAsia="方正仿宋简体" w:cs="Times New Roman"/>
                <w:i w:val="0"/>
                <w:iCs w:val="0"/>
                <w:color w:val="000000"/>
                <w:sz w:val="22"/>
                <w:szCs w:val="22"/>
                <w:u w:val="none"/>
              </w:rPr>
            </w:pPr>
          </w:p>
        </w:tc>
        <w:tc>
          <w:tcPr>
            <w:tcW w:w="6700" w:type="dxa"/>
            <w:tcBorders>
              <w:tl2br w:val="nil"/>
              <w:tr2bl w:val="nil"/>
            </w:tcBorders>
            <w:noWrap w:val="0"/>
            <w:vAlign w:val="center"/>
          </w:tcPr>
          <w:p w14:paraId="7F144667">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全面排查了</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一事一议</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材料不符的问题，对存在会议时间与签到表不一致、照片重复使用的</w:t>
            </w:r>
            <w:r>
              <w:rPr>
                <w:rStyle w:val="12"/>
                <w:rFonts w:eastAsia="宋体"/>
                <w:b w:val="0"/>
                <w:bCs w:val="0"/>
                <w:sz w:val="22"/>
                <w:szCs w:val="22"/>
                <w:lang w:val="en-US" w:eastAsia="zh-CN" w:bidi="ar"/>
              </w:rPr>
              <w:t>6</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个村民小组进行通报批评，责令重新规范相关材料；建立了</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一事一议</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材料审核备案机制，村党组织对会议记录、签到表、照片等材料进行严格审核，确保真实有效。</w:t>
            </w:r>
          </w:p>
        </w:tc>
        <w:tc>
          <w:tcPr>
            <w:tcW w:w="1417" w:type="dxa"/>
            <w:tcBorders>
              <w:tl2br w:val="nil"/>
              <w:tr2bl w:val="nil"/>
            </w:tcBorders>
            <w:noWrap/>
            <w:vAlign w:val="center"/>
          </w:tcPr>
          <w:p w14:paraId="636170B5">
            <w:pPr>
              <w:rPr>
                <w:rFonts w:hint="default" w:ascii="Times New Roman" w:hAnsi="Times New Roman" w:eastAsia="宋体" w:cs="Times New Roman"/>
                <w:i w:val="0"/>
                <w:iCs w:val="0"/>
                <w:color w:val="000000"/>
                <w:sz w:val="24"/>
                <w:szCs w:val="24"/>
                <w:u w:val="none"/>
              </w:rPr>
            </w:pPr>
          </w:p>
        </w:tc>
      </w:tr>
      <w:tr w14:paraId="11228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2" w:hRule="atLeast"/>
          <w:jc w:val="center"/>
        </w:trPr>
        <w:tc>
          <w:tcPr>
            <w:tcW w:w="1149" w:type="dxa"/>
            <w:tcBorders>
              <w:tl2br w:val="nil"/>
              <w:tr2bl w:val="nil"/>
            </w:tcBorders>
            <w:noWrap w:val="0"/>
            <w:vAlign w:val="center"/>
          </w:tcPr>
          <w:p w14:paraId="786D95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867" w:type="dxa"/>
            <w:vMerge w:val="continue"/>
            <w:tcBorders>
              <w:tl2br w:val="nil"/>
              <w:tr2bl w:val="nil"/>
            </w:tcBorders>
            <w:noWrap w:val="0"/>
            <w:vAlign w:val="center"/>
          </w:tcPr>
          <w:p w14:paraId="5550E3DC">
            <w:pPr>
              <w:jc w:val="center"/>
              <w:rPr>
                <w:rFonts w:hint="default" w:ascii="Times New Roman" w:hAnsi="Times New Roman" w:eastAsia="方正仿宋简体" w:cs="Times New Roman"/>
                <w:i w:val="0"/>
                <w:iCs w:val="0"/>
                <w:color w:val="000000"/>
                <w:sz w:val="22"/>
                <w:szCs w:val="22"/>
                <w:u w:val="none"/>
              </w:rPr>
            </w:pPr>
          </w:p>
        </w:tc>
        <w:tc>
          <w:tcPr>
            <w:tcW w:w="1708" w:type="dxa"/>
            <w:vMerge w:val="continue"/>
            <w:tcBorders>
              <w:tl2br w:val="nil"/>
              <w:tr2bl w:val="nil"/>
            </w:tcBorders>
            <w:noWrap w:val="0"/>
            <w:vAlign w:val="center"/>
          </w:tcPr>
          <w:p w14:paraId="639F5FB3">
            <w:pPr>
              <w:rPr>
                <w:rFonts w:hint="default" w:ascii="Times New Roman" w:hAnsi="Times New Roman" w:eastAsia="方正仿宋简体" w:cs="Times New Roman"/>
                <w:i w:val="0"/>
                <w:iCs w:val="0"/>
                <w:color w:val="000000"/>
                <w:sz w:val="22"/>
                <w:szCs w:val="22"/>
                <w:u w:val="none"/>
              </w:rPr>
            </w:pPr>
          </w:p>
        </w:tc>
        <w:tc>
          <w:tcPr>
            <w:tcW w:w="6700" w:type="dxa"/>
            <w:tcBorders>
              <w:tl2br w:val="nil"/>
              <w:tr2bl w:val="nil"/>
            </w:tcBorders>
            <w:noWrap w:val="0"/>
            <w:vAlign w:val="center"/>
          </w:tcPr>
          <w:p w14:paraId="7072ACF0">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对</w:t>
            </w:r>
            <w:r>
              <w:rPr>
                <w:rStyle w:val="12"/>
                <w:rFonts w:eastAsia="宋体"/>
                <w:b w:val="0"/>
                <w:bCs w:val="0"/>
                <w:sz w:val="22"/>
                <w:szCs w:val="22"/>
                <w:lang w:val="en-US" w:eastAsia="zh-CN" w:bidi="ar"/>
              </w:rPr>
              <w:t>2022</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年至</w:t>
            </w:r>
            <w:r>
              <w:rPr>
                <w:rStyle w:val="12"/>
                <w:rFonts w:eastAsia="宋体"/>
                <w:b w:val="0"/>
                <w:bCs w:val="0"/>
                <w:sz w:val="22"/>
                <w:szCs w:val="22"/>
                <w:lang w:val="en-US" w:eastAsia="zh-CN" w:bidi="ar"/>
              </w:rPr>
              <w:t>2023</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年报销的</w:t>
            </w:r>
            <w:r>
              <w:rPr>
                <w:rStyle w:val="12"/>
                <w:rFonts w:eastAsia="宋体"/>
                <w:b w:val="0"/>
                <w:bCs w:val="0"/>
                <w:sz w:val="22"/>
                <w:szCs w:val="22"/>
                <w:lang w:val="en-US" w:eastAsia="zh-CN" w:bidi="ar"/>
              </w:rPr>
              <w:t>12</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笔</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一事一议</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资金材料进行全面整改，补充完善会议记录和签到表，确保时间一致；补齐会议照片，杜绝照片重复使用现象。组织财务人员和村民小组组长开展财务管理专题培训</w:t>
            </w:r>
            <w:r>
              <w:rPr>
                <w:rStyle w:val="12"/>
                <w:rFonts w:eastAsia="宋体"/>
                <w:b w:val="0"/>
                <w:bCs w:val="0"/>
                <w:sz w:val="22"/>
                <w:szCs w:val="22"/>
                <w:lang w:val="en-US" w:eastAsia="zh-CN" w:bidi="ar"/>
              </w:rPr>
              <w:t>1</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次，提升财务审核和业务办理能力。</w:t>
            </w:r>
          </w:p>
        </w:tc>
        <w:tc>
          <w:tcPr>
            <w:tcW w:w="1417" w:type="dxa"/>
            <w:tcBorders>
              <w:tl2br w:val="nil"/>
              <w:tr2bl w:val="nil"/>
            </w:tcBorders>
            <w:noWrap/>
            <w:vAlign w:val="center"/>
          </w:tcPr>
          <w:p w14:paraId="1B377DE1">
            <w:pPr>
              <w:rPr>
                <w:rFonts w:hint="default" w:ascii="Times New Roman" w:hAnsi="Times New Roman" w:eastAsia="宋体" w:cs="Times New Roman"/>
                <w:i w:val="0"/>
                <w:iCs w:val="0"/>
                <w:color w:val="000000"/>
                <w:sz w:val="24"/>
                <w:szCs w:val="24"/>
                <w:u w:val="none"/>
              </w:rPr>
            </w:pPr>
          </w:p>
        </w:tc>
      </w:tr>
      <w:tr w14:paraId="19DC9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0" w:hRule="atLeast"/>
          <w:jc w:val="center"/>
        </w:trPr>
        <w:tc>
          <w:tcPr>
            <w:tcW w:w="1149" w:type="dxa"/>
            <w:tcBorders>
              <w:tl2br w:val="nil"/>
              <w:tr2bl w:val="nil"/>
            </w:tcBorders>
            <w:noWrap w:val="0"/>
            <w:vAlign w:val="center"/>
          </w:tcPr>
          <w:p w14:paraId="239A43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867" w:type="dxa"/>
            <w:vMerge w:val="restart"/>
            <w:tcBorders>
              <w:tl2br w:val="nil"/>
              <w:tr2bl w:val="nil"/>
            </w:tcBorders>
            <w:noWrap w:val="0"/>
            <w:vAlign w:val="center"/>
          </w:tcPr>
          <w:p w14:paraId="39C42790">
            <w:pPr>
              <w:keepNext w:val="0"/>
              <w:keepLines w:val="0"/>
              <w:widowControl/>
              <w:suppressLineNumbers w:val="0"/>
              <w:jc w:val="center"/>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六</w:t>
            </w:r>
            <w:r>
              <w:rPr>
                <w:rFonts w:hint="default" w:ascii="Times New Roman" w:hAnsi="Times New Roman" w:eastAsia="方正仿宋简体" w:cs="Times New Roman"/>
                <w:i w:val="0"/>
                <w:iCs w:val="0"/>
                <w:color w:val="000000"/>
                <w:kern w:val="0"/>
                <w:sz w:val="22"/>
                <w:szCs w:val="22"/>
                <w:u w:val="none"/>
                <w:lang w:val="en-US" w:eastAsia="zh-CN" w:bidi="ar"/>
              </w:rPr>
              <w:t>、关于检查基层党组织领导班子和干部队伍建设方面的整改进展情况</w:t>
            </w:r>
          </w:p>
        </w:tc>
        <w:tc>
          <w:tcPr>
            <w:tcW w:w="1708" w:type="dxa"/>
            <w:tcBorders>
              <w:tl2br w:val="nil"/>
              <w:tr2bl w:val="nil"/>
            </w:tcBorders>
            <w:noWrap w:val="0"/>
            <w:vAlign w:val="center"/>
          </w:tcPr>
          <w:p w14:paraId="632EAF56">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1.及时进行财务公开</w:t>
            </w:r>
          </w:p>
        </w:tc>
        <w:tc>
          <w:tcPr>
            <w:tcW w:w="6700" w:type="dxa"/>
            <w:tcBorders>
              <w:tl2br w:val="nil"/>
              <w:tr2bl w:val="nil"/>
            </w:tcBorders>
            <w:noWrap w:val="0"/>
            <w:vAlign w:val="center"/>
          </w:tcPr>
          <w:p w14:paraId="20D0877B">
            <w:pPr>
              <w:keepNext w:val="0"/>
              <w:keepLines w:val="0"/>
              <w:widowControl/>
              <w:suppressLineNumbers w:val="0"/>
              <w:spacing w:line="240" w:lineRule="auto"/>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一是公示了</w:t>
            </w:r>
            <w:r>
              <w:rPr>
                <w:rStyle w:val="12"/>
                <w:rFonts w:eastAsia="宋体"/>
                <w:b w:val="0"/>
                <w:bCs w:val="0"/>
                <w:sz w:val="22"/>
                <w:szCs w:val="22"/>
                <w:lang w:val="en-US" w:eastAsia="zh-CN" w:bidi="ar"/>
              </w:rPr>
              <w:t>2025</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年第一、二季度财务收支情况，建立财务季度公开制度，接受村民监督。二是明确了专人负责财务公开工作，村务监督委员会对公开内容进行审核把关。</w:t>
            </w:r>
          </w:p>
        </w:tc>
        <w:tc>
          <w:tcPr>
            <w:tcW w:w="1417" w:type="dxa"/>
            <w:tcBorders>
              <w:tl2br w:val="nil"/>
              <w:tr2bl w:val="nil"/>
            </w:tcBorders>
            <w:noWrap/>
            <w:vAlign w:val="center"/>
          </w:tcPr>
          <w:p w14:paraId="3F6F9F6E">
            <w:pPr>
              <w:rPr>
                <w:rFonts w:hint="default" w:ascii="Times New Roman" w:hAnsi="Times New Roman" w:eastAsia="宋体" w:cs="Times New Roman"/>
                <w:i w:val="0"/>
                <w:iCs w:val="0"/>
                <w:color w:val="000000"/>
                <w:sz w:val="24"/>
                <w:szCs w:val="24"/>
                <w:u w:val="none"/>
              </w:rPr>
            </w:pPr>
          </w:p>
        </w:tc>
      </w:tr>
      <w:tr w14:paraId="412A7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3" w:hRule="atLeast"/>
          <w:jc w:val="center"/>
        </w:trPr>
        <w:tc>
          <w:tcPr>
            <w:tcW w:w="1149" w:type="dxa"/>
            <w:tcBorders>
              <w:tl2br w:val="nil"/>
              <w:tr2bl w:val="nil"/>
            </w:tcBorders>
            <w:noWrap w:val="0"/>
            <w:vAlign w:val="center"/>
          </w:tcPr>
          <w:p w14:paraId="7DFE7E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867" w:type="dxa"/>
            <w:vMerge w:val="continue"/>
            <w:tcBorders>
              <w:tl2br w:val="nil"/>
              <w:tr2bl w:val="nil"/>
            </w:tcBorders>
            <w:noWrap w:val="0"/>
            <w:vAlign w:val="center"/>
          </w:tcPr>
          <w:p w14:paraId="70364E69">
            <w:pPr>
              <w:jc w:val="center"/>
              <w:rPr>
                <w:rFonts w:hint="default" w:ascii="Times New Roman" w:hAnsi="Times New Roman" w:eastAsia="方正仿宋简体" w:cs="Times New Roman"/>
                <w:i w:val="0"/>
                <w:iCs w:val="0"/>
                <w:color w:val="000000"/>
                <w:sz w:val="22"/>
                <w:szCs w:val="22"/>
                <w:u w:val="none"/>
              </w:rPr>
            </w:pPr>
          </w:p>
        </w:tc>
        <w:tc>
          <w:tcPr>
            <w:tcW w:w="1708" w:type="dxa"/>
            <w:tcBorders>
              <w:tl2br w:val="nil"/>
              <w:tr2bl w:val="nil"/>
            </w:tcBorders>
            <w:noWrap w:val="0"/>
            <w:vAlign w:val="center"/>
          </w:tcPr>
          <w:p w14:paraId="7C88D788">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default" w:ascii="Times New Roman" w:hAnsi="Times New Roman" w:eastAsia="方正仿宋简体" w:cs="Times New Roman"/>
                <w:i w:val="0"/>
                <w:iCs w:val="0"/>
                <w:color w:val="000000"/>
                <w:kern w:val="0"/>
                <w:sz w:val="22"/>
                <w:szCs w:val="22"/>
                <w:u w:val="none"/>
                <w:lang w:val="en-US" w:eastAsia="zh-CN" w:bidi="ar"/>
              </w:rPr>
              <w:t>2.规范民主决策</w:t>
            </w:r>
          </w:p>
        </w:tc>
        <w:tc>
          <w:tcPr>
            <w:tcW w:w="6700" w:type="dxa"/>
            <w:tcBorders>
              <w:tl2br w:val="nil"/>
              <w:tr2bl w:val="nil"/>
            </w:tcBorders>
            <w:noWrap w:val="0"/>
            <w:vAlign w:val="center"/>
          </w:tcPr>
          <w:p w14:paraId="7D6181C3">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一是对</w:t>
            </w:r>
            <w:r>
              <w:rPr>
                <w:rStyle w:val="12"/>
                <w:rFonts w:hint="eastAsia" w:ascii="方正仿宋简体" w:hAnsi="方正仿宋简体" w:eastAsia="方正仿宋简体" w:cs="方正仿宋简体"/>
                <w:b w:val="0"/>
                <w:bCs w:val="0"/>
                <w:sz w:val="22"/>
                <w:szCs w:val="22"/>
                <w:lang w:val="en-US" w:eastAsia="zh-CN" w:bidi="ar"/>
              </w:rPr>
              <w:t>往年</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会议餐费、公务接待费进行了追溯审核，补充完善了村</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会议研究记录。二是建立了大额资金支出决策制度，明确资金使用需经村</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两委</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会议集体研究决定，形成会议记录并归档留存，杜绝资金支出</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一言堂</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w:t>
            </w:r>
          </w:p>
        </w:tc>
        <w:tc>
          <w:tcPr>
            <w:tcW w:w="1417" w:type="dxa"/>
            <w:tcBorders>
              <w:tl2br w:val="nil"/>
              <w:tr2bl w:val="nil"/>
            </w:tcBorders>
            <w:noWrap/>
            <w:vAlign w:val="center"/>
          </w:tcPr>
          <w:p w14:paraId="7EA1EA02">
            <w:pPr>
              <w:rPr>
                <w:rFonts w:hint="default" w:ascii="Times New Roman" w:hAnsi="Times New Roman" w:eastAsia="宋体" w:cs="Times New Roman"/>
                <w:i w:val="0"/>
                <w:iCs w:val="0"/>
                <w:color w:val="000000"/>
                <w:sz w:val="24"/>
                <w:szCs w:val="24"/>
                <w:u w:val="none"/>
              </w:rPr>
            </w:pPr>
          </w:p>
        </w:tc>
      </w:tr>
      <w:tr w14:paraId="19977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jc w:val="center"/>
        </w:trPr>
        <w:tc>
          <w:tcPr>
            <w:tcW w:w="1149" w:type="dxa"/>
            <w:tcBorders>
              <w:tl2br w:val="nil"/>
              <w:tr2bl w:val="nil"/>
            </w:tcBorders>
            <w:noWrap w:val="0"/>
            <w:vAlign w:val="center"/>
          </w:tcPr>
          <w:p w14:paraId="14B89D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867" w:type="dxa"/>
            <w:vMerge w:val="continue"/>
            <w:tcBorders>
              <w:tl2br w:val="nil"/>
              <w:tr2bl w:val="nil"/>
            </w:tcBorders>
            <w:noWrap w:val="0"/>
            <w:vAlign w:val="center"/>
          </w:tcPr>
          <w:p w14:paraId="5A28F44F">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p>
        </w:tc>
        <w:tc>
          <w:tcPr>
            <w:tcW w:w="1708" w:type="dxa"/>
            <w:vMerge w:val="restart"/>
            <w:tcBorders>
              <w:tl2br w:val="nil"/>
              <w:tr2bl w:val="nil"/>
            </w:tcBorders>
            <w:noWrap w:val="0"/>
            <w:vAlign w:val="center"/>
          </w:tcPr>
          <w:p w14:paraId="6BB45BD9">
            <w:pPr>
              <w:keepNext w:val="0"/>
              <w:keepLines w:val="0"/>
              <w:widowControl/>
              <w:suppressLineNumbers w:val="0"/>
              <w:jc w:val="left"/>
              <w:textAlignment w:val="center"/>
              <w:rPr>
                <w:rFonts w:hint="default" w:ascii="Times New Roman" w:hAnsi="Times New Roman" w:eastAsia="方正仿宋简体" w:cs="Times New Roman"/>
                <w:i w:val="0"/>
                <w:iCs w:val="0"/>
                <w:color w:val="000000"/>
                <w:sz w:val="22"/>
                <w:szCs w:val="22"/>
                <w:u w:val="none"/>
              </w:rPr>
            </w:pPr>
            <w:r>
              <w:rPr>
                <w:rFonts w:hint="eastAsia" w:eastAsia="方正仿宋简体" w:cs="Times New Roman"/>
                <w:i w:val="0"/>
                <w:iCs w:val="0"/>
                <w:color w:val="000000"/>
                <w:kern w:val="0"/>
                <w:sz w:val="22"/>
                <w:szCs w:val="22"/>
                <w:u w:val="none"/>
                <w:lang w:val="en-US" w:eastAsia="zh-CN" w:bidi="ar"/>
              </w:rPr>
              <w:t>3</w:t>
            </w:r>
            <w:r>
              <w:rPr>
                <w:rFonts w:hint="default" w:ascii="Times New Roman" w:hAnsi="Times New Roman" w:eastAsia="方正仿宋简体" w:cs="Times New Roman"/>
                <w:i w:val="0"/>
                <w:iCs w:val="0"/>
                <w:color w:val="000000"/>
                <w:kern w:val="0"/>
                <w:sz w:val="22"/>
                <w:szCs w:val="22"/>
                <w:u w:val="none"/>
                <w:lang w:val="en-US" w:eastAsia="zh-CN" w:bidi="ar"/>
              </w:rPr>
              <w:t>.扎实开展基础党建工作</w:t>
            </w:r>
          </w:p>
        </w:tc>
        <w:tc>
          <w:tcPr>
            <w:tcW w:w="6700" w:type="dxa"/>
            <w:tcBorders>
              <w:tl2br w:val="nil"/>
              <w:tr2bl w:val="nil"/>
            </w:tcBorders>
            <w:noWrap w:val="0"/>
            <w:vAlign w:val="center"/>
          </w:tcPr>
          <w:p w14:paraId="5247AF46">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组织各党支部重新撰写专题组织生活会对照检查材料，党支部书记逐一审核把关，确保材料结合实际、不雷同；对</w:t>
            </w:r>
            <w:r>
              <w:rPr>
                <w:rStyle w:val="12"/>
                <w:rFonts w:hint="eastAsia" w:ascii="方正仿宋简体" w:hAnsi="方正仿宋简体" w:eastAsia="方正仿宋简体" w:cs="方正仿宋简体"/>
                <w:b w:val="0"/>
                <w:bCs w:val="0"/>
                <w:sz w:val="22"/>
                <w:szCs w:val="22"/>
                <w:lang w:val="en-US" w:eastAsia="zh-CN" w:bidi="ar"/>
              </w:rPr>
              <w:t>往年</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清单进行全面整理归档，明确具体整改措施和时限。</w:t>
            </w:r>
          </w:p>
        </w:tc>
        <w:tc>
          <w:tcPr>
            <w:tcW w:w="1417" w:type="dxa"/>
            <w:tcBorders>
              <w:tl2br w:val="nil"/>
              <w:tr2bl w:val="nil"/>
            </w:tcBorders>
            <w:noWrap/>
            <w:vAlign w:val="center"/>
          </w:tcPr>
          <w:p w14:paraId="387C571B">
            <w:pPr>
              <w:rPr>
                <w:rFonts w:hint="default" w:ascii="Times New Roman" w:hAnsi="Times New Roman" w:eastAsia="宋体" w:cs="Times New Roman"/>
                <w:i w:val="0"/>
                <w:iCs w:val="0"/>
                <w:color w:val="000000"/>
                <w:sz w:val="24"/>
                <w:szCs w:val="24"/>
                <w:u w:val="none"/>
              </w:rPr>
            </w:pPr>
          </w:p>
        </w:tc>
      </w:tr>
      <w:tr w14:paraId="6041B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6" w:hRule="atLeast"/>
          <w:jc w:val="center"/>
        </w:trPr>
        <w:tc>
          <w:tcPr>
            <w:tcW w:w="1149" w:type="dxa"/>
            <w:tcBorders>
              <w:tl2br w:val="nil"/>
              <w:tr2bl w:val="nil"/>
            </w:tcBorders>
            <w:noWrap w:val="0"/>
            <w:vAlign w:val="center"/>
          </w:tcPr>
          <w:p w14:paraId="42D4A8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867" w:type="dxa"/>
            <w:vMerge w:val="continue"/>
            <w:tcBorders>
              <w:tl2br w:val="nil"/>
              <w:tr2bl w:val="nil"/>
            </w:tcBorders>
            <w:noWrap w:val="0"/>
            <w:vAlign w:val="center"/>
          </w:tcPr>
          <w:p w14:paraId="3B260653">
            <w:pPr>
              <w:rPr>
                <w:rFonts w:hint="default" w:ascii="Times New Roman" w:hAnsi="Times New Roman" w:eastAsia="宋体" w:cs="Times New Roman"/>
                <w:i w:val="0"/>
                <w:iCs w:val="0"/>
                <w:color w:val="000000"/>
                <w:sz w:val="22"/>
                <w:szCs w:val="22"/>
                <w:u w:val="none"/>
              </w:rPr>
            </w:pPr>
          </w:p>
        </w:tc>
        <w:tc>
          <w:tcPr>
            <w:tcW w:w="1708" w:type="dxa"/>
            <w:vMerge w:val="continue"/>
            <w:tcBorders>
              <w:tl2br w:val="nil"/>
              <w:tr2bl w:val="nil"/>
            </w:tcBorders>
            <w:noWrap w:val="0"/>
            <w:vAlign w:val="center"/>
          </w:tcPr>
          <w:p w14:paraId="386E5467">
            <w:pPr>
              <w:rPr>
                <w:rFonts w:hint="default" w:ascii="Times New Roman" w:hAnsi="Times New Roman" w:eastAsia="宋体" w:cs="Times New Roman"/>
                <w:i w:val="0"/>
                <w:iCs w:val="0"/>
                <w:color w:val="000000"/>
                <w:sz w:val="22"/>
                <w:szCs w:val="22"/>
                <w:u w:val="none"/>
              </w:rPr>
            </w:pPr>
          </w:p>
        </w:tc>
        <w:tc>
          <w:tcPr>
            <w:tcW w:w="6700" w:type="dxa"/>
            <w:tcBorders>
              <w:tl2br w:val="nil"/>
              <w:tr2bl w:val="nil"/>
            </w:tcBorders>
            <w:noWrap w:val="0"/>
            <w:vAlign w:val="center"/>
          </w:tcPr>
          <w:p w14:paraId="2C8652F9">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组织专人重新撰写工作总结，结合本村实际补充具体工作举措和成效；建立了工作总结审核制度，明确工作总结必须由分管领导审核、党组织书记把关，杜绝照搬照抄。</w:t>
            </w:r>
          </w:p>
        </w:tc>
        <w:tc>
          <w:tcPr>
            <w:tcW w:w="1417" w:type="dxa"/>
            <w:tcBorders>
              <w:tl2br w:val="nil"/>
              <w:tr2bl w:val="nil"/>
            </w:tcBorders>
            <w:noWrap/>
            <w:vAlign w:val="center"/>
          </w:tcPr>
          <w:p w14:paraId="26247528">
            <w:pPr>
              <w:rPr>
                <w:rFonts w:hint="default" w:ascii="Times New Roman" w:hAnsi="Times New Roman" w:eastAsia="宋体" w:cs="Times New Roman"/>
                <w:i w:val="0"/>
                <w:iCs w:val="0"/>
                <w:color w:val="000000"/>
                <w:sz w:val="24"/>
                <w:szCs w:val="24"/>
                <w:u w:val="none"/>
              </w:rPr>
            </w:pPr>
          </w:p>
        </w:tc>
      </w:tr>
      <w:tr w14:paraId="2BD2E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49" w:type="dxa"/>
            <w:tcBorders>
              <w:tl2br w:val="nil"/>
              <w:tr2bl w:val="nil"/>
            </w:tcBorders>
            <w:noWrap w:val="0"/>
            <w:vAlign w:val="center"/>
          </w:tcPr>
          <w:p w14:paraId="18A60B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867" w:type="dxa"/>
            <w:vMerge w:val="continue"/>
            <w:tcBorders>
              <w:tl2br w:val="nil"/>
              <w:tr2bl w:val="nil"/>
            </w:tcBorders>
            <w:noWrap w:val="0"/>
            <w:vAlign w:val="center"/>
          </w:tcPr>
          <w:p w14:paraId="6B7E167B">
            <w:pPr>
              <w:rPr>
                <w:rFonts w:hint="default" w:ascii="Times New Roman" w:hAnsi="Times New Roman" w:eastAsia="宋体" w:cs="Times New Roman"/>
                <w:i w:val="0"/>
                <w:iCs w:val="0"/>
                <w:color w:val="000000"/>
                <w:sz w:val="22"/>
                <w:szCs w:val="22"/>
                <w:u w:val="none"/>
              </w:rPr>
            </w:pPr>
          </w:p>
        </w:tc>
        <w:tc>
          <w:tcPr>
            <w:tcW w:w="1708" w:type="dxa"/>
            <w:vMerge w:val="continue"/>
            <w:tcBorders>
              <w:tl2br w:val="nil"/>
              <w:tr2bl w:val="nil"/>
            </w:tcBorders>
            <w:noWrap w:val="0"/>
            <w:vAlign w:val="center"/>
          </w:tcPr>
          <w:p w14:paraId="55A9C5F7">
            <w:pPr>
              <w:rPr>
                <w:rFonts w:hint="default" w:ascii="Times New Roman" w:hAnsi="Times New Roman" w:eastAsia="宋体" w:cs="Times New Roman"/>
                <w:i w:val="0"/>
                <w:iCs w:val="0"/>
                <w:color w:val="000000"/>
                <w:sz w:val="22"/>
                <w:szCs w:val="22"/>
                <w:u w:val="none"/>
              </w:rPr>
            </w:pPr>
          </w:p>
        </w:tc>
        <w:tc>
          <w:tcPr>
            <w:tcW w:w="6700" w:type="dxa"/>
            <w:tcBorders>
              <w:tl2br w:val="nil"/>
              <w:tr2bl w:val="nil"/>
            </w:tcBorders>
            <w:noWrap w:val="0"/>
            <w:vAlign w:val="center"/>
          </w:tcPr>
          <w:p w14:paraId="389FBCAE">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组织开展了基层党建业务专题培训</w:t>
            </w:r>
            <w:r>
              <w:rPr>
                <w:rStyle w:val="12"/>
                <w:rFonts w:eastAsia="宋体"/>
                <w:b w:val="0"/>
                <w:bCs w:val="0"/>
                <w:sz w:val="22"/>
                <w:szCs w:val="22"/>
                <w:lang w:val="en-US" w:eastAsia="zh-CN" w:bidi="ar"/>
              </w:rPr>
              <w:t>2</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次，重点培训</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三会一课</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、组织生活会、民主评议党员等工作流程，组织党支部书记、支委委员进行现场实操演练；发放了《基层党建工作操作手册》，要求党员干部自学钻研，村党组织定期抽查学习成效。</w:t>
            </w:r>
          </w:p>
        </w:tc>
        <w:tc>
          <w:tcPr>
            <w:tcW w:w="1417" w:type="dxa"/>
            <w:tcBorders>
              <w:tl2br w:val="nil"/>
              <w:tr2bl w:val="nil"/>
            </w:tcBorders>
            <w:noWrap/>
            <w:vAlign w:val="center"/>
          </w:tcPr>
          <w:p w14:paraId="3BD6134F">
            <w:pPr>
              <w:rPr>
                <w:rFonts w:hint="default" w:ascii="Times New Roman" w:hAnsi="Times New Roman" w:eastAsia="宋体" w:cs="Times New Roman"/>
                <w:i w:val="0"/>
                <w:iCs w:val="0"/>
                <w:color w:val="000000"/>
                <w:sz w:val="24"/>
                <w:szCs w:val="24"/>
                <w:u w:val="none"/>
              </w:rPr>
            </w:pPr>
          </w:p>
        </w:tc>
      </w:tr>
      <w:tr w14:paraId="3EF1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1149" w:type="dxa"/>
            <w:tcBorders>
              <w:tl2br w:val="nil"/>
              <w:tr2bl w:val="nil"/>
            </w:tcBorders>
            <w:noWrap w:val="0"/>
            <w:vAlign w:val="center"/>
          </w:tcPr>
          <w:p w14:paraId="15D709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867" w:type="dxa"/>
            <w:vMerge w:val="continue"/>
            <w:tcBorders>
              <w:tl2br w:val="nil"/>
              <w:tr2bl w:val="nil"/>
            </w:tcBorders>
            <w:noWrap w:val="0"/>
            <w:vAlign w:val="center"/>
          </w:tcPr>
          <w:p w14:paraId="794FFF26">
            <w:pPr>
              <w:rPr>
                <w:rFonts w:hint="default" w:ascii="Times New Roman" w:hAnsi="Times New Roman" w:eastAsia="宋体" w:cs="Times New Roman"/>
                <w:i w:val="0"/>
                <w:iCs w:val="0"/>
                <w:color w:val="000000"/>
                <w:sz w:val="22"/>
                <w:szCs w:val="22"/>
                <w:u w:val="none"/>
              </w:rPr>
            </w:pPr>
          </w:p>
        </w:tc>
        <w:tc>
          <w:tcPr>
            <w:tcW w:w="1708" w:type="dxa"/>
            <w:vMerge w:val="continue"/>
            <w:tcBorders>
              <w:tl2br w:val="nil"/>
              <w:tr2bl w:val="nil"/>
            </w:tcBorders>
            <w:noWrap w:val="0"/>
            <w:vAlign w:val="center"/>
          </w:tcPr>
          <w:p w14:paraId="3DF11043">
            <w:pPr>
              <w:rPr>
                <w:rFonts w:hint="default" w:ascii="Times New Roman" w:hAnsi="Times New Roman" w:eastAsia="宋体" w:cs="Times New Roman"/>
                <w:i w:val="0"/>
                <w:iCs w:val="0"/>
                <w:color w:val="000000"/>
                <w:sz w:val="22"/>
                <w:szCs w:val="22"/>
                <w:u w:val="none"/>
              </w:rPr>
            </w:pPr>
          </w:p>
        </w:tc>
        <w:tc>
          <w:tcPr>
            <w:tcW w:w="6700" w:type="dxa"/>
            <w:tcBorders>
              <w:tl2br w:val="nil"/>
              <w:tr2bl w:val="nil"/>
            </w:tcBorders>
            <w:noWrap w:val="0"/>
            <w:vAlign w:val="center"/>
          </w:tcPr>
          <w:p w14:paraId="28542869">
            <w:pPr>
              <w:keepNext w:val="0"/>
              <w:keepLines w:val="0"/>
              <w:widowControl/>
              <w:suppressLineNumbers w:val="0"/>
              <w:jc w:val="both"/>
              <w:textAlignment w:val="center"/>
              <w:rPr>
                <w:rFonts w:hint="default" w:ascii="Times New Roman" w:hAnsi="Times New Roman" w:eastAsia="宋体" w:cs="Times New Roman"/>
                <w:b w:val="0"/>
                <w:bCs w:val="0"/>
                <w:i w:val="0"/>
                <w:iCs w:val="0"/>
                <w:color w:val="000000"/>
                <w:sz w:val="22"/>
                <w:szCs w:val="22"/>
                <w:u w:val="none"/>
              </w:rPr>
            </w:pP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完善会议记录；建立</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三会一课</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台账管理制度及定期提醒，明确各党支部每月上报</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三会一课</w:t>
            </w:r>
            <w:r>
              <w:rPr>
                <w:rStyle w:val="12"/>
                <w:rFonts w:hint="eastAsia"/>
                <w:b w:val="0"/>
                <w:bCs w:val="0"/>
                <w:sz w:val="22"/>
                <w:szCs w:val="22"/>
                <w:lang w:val="en-US" w:eastAsia="zh-CN" w:bidi="ar"/>
              </w:rPr>
              <w:t>”</w:t>
            </w:r>
            <w:r>
              <w:rPr>
                <w:rFonts w:hint="eastAsia" w:ascii="方正仿宋简体" w:hAnsi="方正仿宋简体" w:eastAsia="方正仿宋简体" w:cs="方正仿宋简体"/>
                <w:b w:val="0"/>
                <w:bCs w:val="0"/>
                <w:i w:val="0"/>
                <w:iCs w:val="0"/>
                <w:color w:val="000000"/>
                <w:kern w:val="0"/>
                <w:sz w:val="22"/>
                <w:szCs w:val="22"/>
                <w:u w:val="none"/>
                <w:lang w:val="en-US" w:eastAsia="zh-CN" w:bidi="ar"/>
              </w:rPr>
              <w:t>开展情况，确保制度严格执行。</w:t>
            </w:r>
          </w:p>
        </w:tc>
        <w:tc>
          <w:tcPr>
            <w:tcW w:w="1417" w:type="dxa"/>
            <w:tcBorders>
              <w:tl2br w:val="nil"/>
              <w:tr2bl w:val="nil"/>
            </w:tcBorders>
            <w:noWrap/>
            <w:vAlign w:val="center"/>
          </w:tcPr>
          <w:p w14:paraId="7451FD42">
            <w:pPr>
              <w:rPr>
                <w:rFonts w:hint="default" w:ascii="Times New Roman" w:hAnsi="Times New Roman" w:eastAsia="宋体" w:cs="Times New Roman"/>
                <w:i w:val="0"/>
                <w:iCs w:val="0"/>
                <w:color w:val="000000"/>
                <w:sz w:val="24"/>
                <w:szCs w:val="24"/>
                <w:u w:val="none"/>
              </w:rPr>
            </w:pPr>
          </w:p>
        </w:tc>
      </w:tr>
    </w:tbl>
    <w:p w14:paraId="43523ACF">
      <w:pPr>
        <w:rPr>
          <w:rFonts w:hint="default"/>
          <w:lang w:val="en-US" w:eastAsia="zh-CN"/>
        </w:rPr>
        <w:sectPr>
          <w:pgSz w:w="16840" w:h="11910" w:orient="landscape"/>
          <w:pgMar w:top="1587" w:right="2211" w:bottom="1474" w:left="1871" w:header="0" w:footer="1389" w:gutter="0"/>
          <w:pgBorders>
            <w:top w:val="none" w:sz="0" w:space="0"/>
            <w:left w:val="none" w:sz="0" w:space="0"/>
            <w:bottom w:val="none" w:sz="0" w:space="0"/>
            <w:right w:val="none" w:sz="0" w:space="0"/>
          </w:pgBorders>
          <w:pgNumType w:fmt="decimal" w:start="1"/>
          <w:cols w:space="720" w:num="1"/>
          <w:rtlGutter w:val="0"/>
          <w:docGrid w:linePitch="1" w:charSpace="0"/>
        </w:sectPr>
      </w:pPr>
    </w:p>
    <w:p w14:paraId="02C25910"/>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C1251">
    <w:pPr>
      <w:pStyle w:val="3"/>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3B6800"/>
    <w:rsid w:val="703B6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32"/>
      <w:szCs w:val="20"/>
    </w:rPr>
  </w:style>
  <w:style w:type="paragraph" w:styleId="4">
    <w:name w:val="toc 5"/>
    <w:basedOn w:val="1"/>
    <w:next w:val="1"/>
    <w:qFormat/>
    <w:uiPriority w:val="0"/>
    <w:pPr>
      <w:ind w:left="1680" w:leftChars="800"/>
    </w:p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101"/>
    <w:basedOn w:val="8"/>
    <w:qFormat/>
    <w:uiPriority w:val="0"/>
    <w:rPr>
      <w:rFonts w:ascii="方正仿宋简体" w:hAnsi="方正仿宋简体" w:eastAsia="方正仿宋简体" w:cs="方正仿宋简体"/>
      <w:color w:val="000000"/>
      <w:sz w:val="28"/>
      <w:szCs w:val="28"/>
      <w:u w:val="none"/>
    </w:rPr>
  </w:style>
  <w:style w:type="character" w:customStyle="1" w:styleId="10">
    <w:name w:val="font121"/>
    <w:basedOn w:val="8"/>
    <w:qFormat/>
    <w:uiPriority w:val="0"/>
    <w:rPr>
      <w:rFonts w:ascii="方正小标宋简体" w:hAnsi="方正小标宋简体" w:eastAsia="方正小标宋简体" w:cs="方正小标宋简体"/>
      <w:color w:val="000000"/>
      <w:sz w:val="44"/>
      <w:szCs w:val="44"/>
      <w:u w:val="none"/>
    </w:rPr>
  </w:style>
  <w:style w:type="character" w:customStyle="1" w:styleId="11">
    <w:name w:val="font112"/>
    <w:basedOn w:val="8"/>
    <w:qFormat/>
    <w:uiPriority w:val="0"/>
    <w:rPr>
      <w:rFonts w:ascii="方正黑体简体" w:hAnsi="方正黑体简体" w:eastAsia="方正黑体简体" w:cs="方正黑体简体"/>
      <w:color w:val="000000"/>
      <w:sz w:val="32"/>
      <w:szCs w:val="32"/>
      <w:u w:val="none"/>
    </w:rPr>
  </w:style>
  <w:style w:type="character" w:customStyle="1" w:styleId="12">
    <w:name w:val="font11"/>
    <w:basedOn w:val="8"/>
    <w:qFormat/>
    <w:uiPriority w:val="0"/>
    <w:rPr>
      <w:rFonts w:hint="default" w:ascii="Times New Roman" w:hAnsi="Times New Roman" w:cs="Times New Roman"/>
      <w:color w:val="000000"/>
      <w:sz w:val="24"/>
      <w:szCs w:val="24"/>
      <w:u w:val="none"/>
    </w:rPr>
  </w:style>
  <w:style w:type="character" w:customStyle="1" w:styleId="13">
    <w:name w:val="font91"/>
    <w:basedOn w:val="8"/>
    <w:qFormat/>
    <w:uiPriority w:val="0"/>
    <w:rPr>
      <w:rFonts w:hint="eastAsia"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2026-09-03T06:53:00Z</dcterms:created>
  <dc:creator>在水一方</dc:creator>
  <cp:lastModifiedBy>在水一方</cp:lastModifiedBy>
  <dcterms:modified xsi:type="dcterms:W3CDTF">2026-09-03T06:54:50Z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AB55ECE1C7FF4D738975B6DD2785CA4C_11</vt:lpwstr>
  </property>
  <property fmtid="{D5CDD505-2E9C-101B-9397-08002B2CF9AE}" pid="4" name="KSOTemplateDocerSaveRecord">
    <vt:lpwstr>eyJoZGlkIjoiZjVkZGY1M2E5OTE3ZDk1MzRmZjIzNDNkMTIxMTcxYmIiLCJ1c2VySWQiOiI0NjM0MDM3NDMifQ==</vt:lpwstr>
  </property>
</Properties>
</file>