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1062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05"/>
        <w:gridCol w:w="2117"/>
        <w:gridCol w:w="1370"/>
        <w:gridCol w:w="5817"/>
        <w:gridCol w:w="613"/>
      </w:tblGrid>
      <w:tr w14:paraId="3D2DB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2" w:hRule="atLeast"/>
        </w:trPr>
        <w:tc>
          <w:tcPr>
            <w:tcW w:w="10622" w:type="dxa"/>
            <w:gridSpan w:val="5"/>
            <w:tcBorders>
              <w:top w:val="nil"/>
              <w:left w:val="nil"/>
              <w:bottom w:val="nil"/>
              <w:right w:val="nil"/>
            </w:tcBorders>
            <w:shd w:val="clear" w:color="auto" w:fill="auto"/>
            <w:noWrap/>
            <w:vAlign w:val="top"/>
          </w:tcPr>
          <w:p w14:paraId="10E1B0FD">
            <w:pPr>
              <w:keepNext w:val="0"/>
              <w:keepLines w:val="0"/>
              <w:widowControl/>
              <w:suppressLineNumbers w:val="0"/>
              <w:jc w:val="left"/>
              <w:textAlignment w:val="top"/>
              <w:rPr>
                <w:rFonts w:ascii="方正黑体简体" w:hAnsi="方正黑体简体" w:eastAsia="方正黑体简体" w:cs="方正黑体简体"/>
                <w:i w:val="0"/>
                <w:iCs w:val="0"/>
                <w:color w:val="000000"/>
                <w:sz w:val="34"/>
                <w:szCs w:val="34"/>
                <w:u w:val="none"/>
              </w:rPr>
            </w:pPr>
            <w:r>
              <w:rPr>
                <w:rFonts w:hint="eastAsia" w:ascii="方正黑体简体" w:hAnsi="方正黑体简体" w:eastAsia="方正黑体简体" w:cs="方正黑体简体"/>
                <w:i w:val="0"/>
                <w:iCs w:val="0"/>
                <w:color w:val="000000"/>
                <w:kern w:val="0"/>
                <w:sz w:val="34"/>
                <w:szCs w:val="34"/>
                <w:u w:val="none"/>
                <w:lang w:val="en-US" w:eastAsia="zh-CN" w:bidi="ar"/>
              </w:rPr>
              <w:t>附件</w:t>
            </w:r>
            <w:r>
              <w:rPr>
                <w:rFonts w:hint="default" w:ascii="Times New Roman" w:hAnsi="Times New Roman" w:eastAsia="方正黑体简体" w:cs="Times New Roman"/>
                <w:i w:val="0"/>
                <w:iCs w:val="0"/>
                <w:color w:val="000000"/>
                <w:kern w:val="0"/>
                <w:sz w:val="34"/>
                <w:szCs w:val="34"/>
                <w:u w:val="none"/>
                <w:lang w:val="en-US" w:eastAsia="zh-CN" w:bidi="ar"/>
              </w:rPr>
              <w:t>5</w:t>
            </w:r>
          </w:p>
        </w:tc>
      </w:tr>
      <w:tr w14:paraId="308C0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0" w:type="auto"/>
            <w:gridSpan w:val="5"/>
            <w:tcBorders>
              <w:top w:val="nil"/>
              <w:left w:val="nil"/>
              <w:bottom w:val="nil"/>
              <w:right w:val="nil"/>
            </w:tcBorders>
            <w:shd w:val="clear" w:color="auto" w:fill="auto"/>
            <w:noWrap/>
            <w:vAlign w:val="center"/>
          </w:tcPr>
          <w:p w14:paraId="7FE0BD55">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十三届县委第八轮巡察腊撒村反馈问题社会公开台账</w:t>
            </w:r>
          </w:p>
        </w:tc>
      </w:tr>
      <w:tr w14:paraId="598ED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0" w:type="auto"/>
            <w:gridSpan w:val="5"/>
            <w:tcBorders>
              <w:top w:val="nil"/>
              <w:left w:val="nil"/>
              <w:bottom w:val="nil"/>
              <w:right w:val="nil"/>
            </w:tcBorders>
            <w:shd w:val="clear" w:color="auto" w:fill="auto"/>
            <w:noWrap/>
            <w:vAlign w:val="center"/>
          </w:tcPr>
          <w:p w14:paraId="1ED525AD">
            <w:pPr>
              <w:keepNext w:val="0"/>
              <w:keepLines w:val="0"/>
              <w:widowControl/>
              <w:suppressLineNumbers w:val="0"/>
              <w:jc w:val="left"/>
              <w:textAlignment w:val="center"/>
              <w:rPr>
                <w:rFonts w:ascii="方正楷体简体" w:hAnsi="方正楷体简体" w:eastAsia="方正楷体简体" w:cs="方正楷体简体"/>
                <w:i w:val="0"/>
                <w:iCs w:val="0"/>
                <w:color w:val="000000"/>
                <w:sz w:val="24"/>
                <w:szCs w:val="24"/>
                <w:u w:val="none"/>
              </w:rPr>
            </w:pPr>
            <w:r>
              <w:rPr>
                <w:rFonts w:hint="eastAsia" w:ascii="方正楷体简体" w:hAnsi="方正楷体简体" w:eastAsia="方正楷体简体" w:cs="方正楷体简体"/>
                <w:i w:val="0"/>
                <w:iCs w:val="0"/>
                <w:color w:val="000000"/>
                <w:kern w:val="0"/>
                <w:sz w:val="24"/>
                <w:szCs w:val="24"/>
                <w:u w:val="none"/>
                <w:lang w:val="en-US" w:eastAsia="zh-CN" w:bidi="ar"/>
              </w:rPr>
              <w:t>填报单位（加盖公章）：中共谦六彝族乡委员会                  填报日期：</w:t>
            </w:r>
            <w:r>
              <w:rPr>
                <w:rFonts w:hint="default" w:ascii="Times New Roman" w:hAnsi="Times New Roman" w:eastAsia="方正楷体简体" w:cs="Times New Roman"/>
                <w:i w:val="0"/>
                <w:iCs w:val="0"/>
                <w:color w:val="000000"/>
                <w:kern w:val="0"/>
                <w:sz w:val="24"/>
                <w:szCs w:val="24"/>
                <w:u w:val="none"/>
                <w:lang w:val="en-US" w:eastAsia="zh-CN" w:bidi="ar"/>
              </w:rPr>
              <w:t>2026年8月28</w:t>
            </w:r>
            <w:r>
              <w:rPr>
                <w:rFonts w:hint="eastAsia" w:ascii="方正楷体简体" w:hAnsi="方正楷体简体" w:eastAsia="方正楷体简体" w:cs="方正楷体简体"/>
                <w:i w:val="0"/>
                <w:iCs w:val="0"/>
                <w:color w:val="000000"/>
                <w:kern w:val="0"/>
                <w:sz w:val="24"/>
                <w:szCs w:val="24"/>
                <w:u w:val="none"/>
                <w:lang w:val="en-US" w:eastAsia="zh-CN" w:bidi="ar"/>
              </w:rPr>
              <w:t>日</w:t>
            </w:r>
          </w:p>
        </w:tc>
      </w:tr>
      <w:tr w14:paraId="54A70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6"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F927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序号</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7195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问题分类</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0C2D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主要措施</w:t>
            </w:r>
          </w:p>
        </w:tc>
        <w:tc>
          <w:tcPr>
            <w:tcW w:w="5817" w:type="dxa"/>
            <w:tcBorders>
              <w:top w:val="single" w:color="000000" w:sz="4" w:space="0"/>
              <w:left w:val="single" w:color="000000" w:sz="4" w:space="0"/>
              <w:bottom w:val="nil"/>
              <w:right w:val="single" w:color="000000" w:sz="4" w:space="0"/>
            </w:tcBorders>
            <w:shd w:val="clear" w:color="auto" w:fill="auto"/>
            <w:vAlign w:val="center"/>
          </w:tcPr>
          <w:p w14:paraId="0DDA167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整改工作及成效</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9370A">
            <w:pPr>
              <w:keepNext w:val="0"/>
              <w:keepLines w:val="0"/>
              <w:widowControl/>
              <w:suppressLineNumbers w:val="0"/>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备注</w:t>
            </w:r>
          </w:p>
        </w:tc>
      </w:tr>
      <w:tr w14:paraId="4EEBE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5"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3A75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2117" w:type="dxa"/>
            <w:tcBorders>
              <w:top w:val="single" w:color="000000" w:sz="4" w:space="0"/>
              <w:left w:val="single" w:color="000000" w:sz="4" w:space="0"/>
              <w:bottom w:val="single" w:color="auto" w:sz="4" w:space="0"/>
              <w:right w:val="single" w:color="000000" w:sz="4" w:space="0"/>
            </w:tcBorders>
            <w:shd w:val="clear" w:color="auto" w:fill="auto"/>
            <w:vAlign w:val="center"/>
          </w:tcPr>
          <w:p w14:paraId="48D0547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一、</w:t>
            </w:r>
            <w:r>
              <w:rPr>
                <w:rFonts w:hint="eastAsia" w:ascii="方正楷体简体" w:hAnsi="方正楷体简体" w:eastAsia="方正楷体简体" w:cs="方正楷体简体"/>
                <w:i w:val="0"/>
                <w:iCs w:val="0"/>
                <w:color w:val="000000"/>
                <w:kern w:val="0"/>
                <w:sz w:val="24"/>
                <w:szCs w:val="24"/>
                <w:u w:val="none"/>
                <w:lang w:val="en-US" w:eastAsia="zh-CN" w:bidi="ar"/>
              </w:rPr>
              <w:t>关于推动巡视巡察、审计反馈问题整改方面的整改进展情况</w:t>
            </w:r>
          </w:p>
        </w:tc>
        <w:tc>
          <w:tcPr>
            <w:tcW w:w="1370" w:type="dxa"/>
            <w:tcBorders>
              <w:top w:val="single" w:color="000000" w:sz="4" w:space="0"/>
              <w:left w:val="single" w:color="000000" w:sz="4" w:space="0"/>
              <w:bottom w:val="single" w:color="auto" w:sz="4" w:space="0"/>
              <w:right w:val="single" w:color="000000" w:sz="4" w:space="0"/>
            </w:tcBorders>
            <w:shd w:val="clear" w:color="auto" w:fill="auto"/>
            <w:vAlign w:val="center"/>
          </w:tcPr>
          <w:p w14:paraId="46FBB29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持续深化巡察整改，坚决杜绝边改边犯。</w:t>
            </w:r>
          </w:p>
        </w:tc>
        <w:tc>
          <w:tcPr>
            <w:tcW w:w="5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CFEF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相关资金已退回会计委托代理服务中心，结合深入贯彻中央八项规定精神学习教育，组织学习中央八项规定及其实施细则精神，进一步严明财经纪律和工作要求。</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相关结余资金已存至会计委托代理服务中心。</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组织</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管理培训</w:t>
            </w:r>
            <w:r>
              <w:rPr>
                <w:rFonts w:hint="default" w:ascii="Times New Roman" w:hAnsi="Times New Roman" w:eastAsia="方正仿宋简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次，各村民小组严格执行相关规定，所有集体收支必须通过会计委托代理服务中心账户管理。</w:t>
            </w:r>
            <w:r>
              <w:rPr>
                <w:rFonts w:hint="eastAsia" w:ascii="方正仿宋简体" w:hAnsi="方正仿宋简体" w:eastAsia="方正仿宋简体" w:cs="方正仿宋简体"/>
                <w:b/>
                <w:bCs/>
                <w:i w:val="0"/>
                <w:iCs w:val="0"/>
                <w:color w:val="000000"/>
                <w:kern w:val="0"/>
                <w:sz w:val="24"/>
                <w:szCs w:val="24"/>
                <w:u w:val="none"/>
                <w:lang w:val="en-US" w:eastAsia="zh-CN" w:bidi="ar"/>
              </w:rPr>
              <w:t>四是</w:t>
            </w:r>
            <w:r>
              <w:rPr>
                <w:rFonts w:ascii="方正仿宋简体" w:hAnsi="方正仿宋简体" w:eastAsia="方正仿宋简体" w:cs="方正仿宋简体"/>
                <w:i w:val="0"/>
                <w:iCs w:val="0"/>
                <w:color w:val="000000"/>
                <w:kern w:val="0"/>
                <w:sz w:val="24"/>
                <w:szCs w:val="24"/>
                <w:u w:val="none"/>
                <w:lang w:val="en-US" w:eastAsia="zh-CN" w:bidi="ar"/>
              </w:rPr>
              <w:t>强化账目公开，每季度公示资金收支明细，由村务监督委员会监督账目，确保资金使用透明可追溯，接受村民监督。</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F6B92">
            <w:pPr>
              <w:jc w:val="center"/>
              <w:rPr>
                <w:rFonts w:hint="default" w:ascii="Times New Roman" w:hAnsi="Times New Roman" w:eastAsia="宋体" w:cs="Times New Roman"/>
                <w:i w:val="0"/>
                <w:iCs w:val="0"/>
                <w:color w:val="000000"/>
                <w:sz w:val="24"/>
                <w:szCs w:val="24"/>
                <w:u w:val="none"/>
              </w:rPr>
            </w:pPr>
          </w:p>
        </w:tc>
      </w:tr>
      <w:tr w14:paraId="26080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0" w:hRule="atLeast"/>
        </w:trPr>
        <w:tc>
          <w:tcPr>
            <w:tcW w:w="705" w:type="dxa"/>
            <w:tcBorders>
              <w:top w:val="single" w:color="000000" w:sz="4" w:space="0"/>
              <w:left w:val="single" w:color="000000" w:sz="4" w:space="0"/>
              <w:bottom w:val="single" w:color="000000" w:sz="4" w:space="0"/>
              <w:right w:val="single" w:color="auto" w:sz="4" w:space="0"/>
            </w:tcBorders>
            <w:shd w:val="clear" w:color="auto" w:fill="auto"/>
            <w:vAlign w:val="center"/>
          </w:tcPr>
          <w:p w14:paraId="0CADDA1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2117" w:type="dxa"/>
            <w:vMerge w:val="restart"/>
            <w:tcBorders>
              <w:top w:val="single" w:color="auto" w:sz="4" w:space="0"/>
              <w:left w:val="single" w:color="auto" w:sz="4" w:space="0"/>
              <w:bottom w:val="nil"/>
              <w:right w:val="single" w:color="000000" w:sz="4" w:space="0"/>
            </w:tcBorders>
            <w:shd w:val="clear" w:color="auto" w:fill="auto"/>
            <w:vAlign w:val="center"/>
          </w:tcPr>
          <w:p w14:paraId="43695A5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二、</w:t>
            </w:r>
            <w:r>
              <w:rPr>
                <w:rFonts w:hint="eastAsia" w:ascii="方正楷体简体" w:hAnsi="方正楷体简体" w:eastAsia="方正楷体简体" w:cs="方正楷体简体"/>
                <w:i w:val="0"/>
                <w:iCs w:val="0"/>
                <w:color w:val="000000"/>
                <w:kern w:val="0"/>
                <w:sz w:val="24"/>
                <w:szCs w:val="24"/>
                <w:u w:val="none"/>
                <w:lang w:val="en-US" w:eastAsia="zh-CN" w:bidi="ar"/>
              </w:rPr>
              <w:t>关于贯彻落实习近平总书记重要讲话和重要指示批示精神、党中央重大决策部署方面的整改进展情况</w:t>
            </w:r>
          </w:p>
        </w:tc>
        <w:tc>
          <w:tcPr>
            <w:tcW w:w="1370" w:type="dxa"/>
            <w:tcBorders>
              <w:top w:val="single" w:color="auto" w:sz="4" w:space="0"/>
              <w:left w:val="single" w:color="000000" w:sz="4" w:space="0"/>
              <w:bottom w:val="single" w:color="000000" w:sz="4" w:space="0"/>
              <w:right w:val="single" w:color="auto" w:sz="4" w:space="0"/>
            </w:tcBorders>
            <w:shd w:val="clear" w:color="auto" w:fill="auto"/>
            <w:vAlign w:val="center"/>
          </w:tcPr>
          <w:p w14:paraId="51B561A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进一步强化政治理论学习。</w:t>
            </w:r>
          </w:p>
        </w:tc>
        <w:tc>
          <w:tcPr>
            <w:tcW w:w="5817" w:type="dxa"/>
            <w:tcBorders>
              <w:top w:val="single" w:color="000000" w:sz="4" w:space="0"/>
              <w:left w:val="single" w:color="auto" w:sz="4" w:space="0"/>
              <w:bottom w:val="single" w:color="000000" w:sz="4" w:space="0"/>
              <w:right w:val="single" w:color="000000" w:sz="4" w:space="0"/>
            </w:tcBorders>
            <w:shd w:val="clear" w:color="auto" w:fill="auto"/>
            <w:vAlign w:val="center"/>
          </w:tcPr>
          <w:p w14:paraId="0D45C91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腊撒村党总支下设党支部认真执行</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三会一课</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制度，做到会议频次达标、内容规范，同时把学习贯彻习近平总书记重要讲话精神作为各党支部会议的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第一议题</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，并参照乡级推送的学习参考资料与活动指引组织学习。</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丰富学习内容。聚焦习近平新时代中国特色社会主义思想、党的二十大精神及乡村振兴等核心内容，紧密对接村级发展实际与党员需求，深度融合惠民政策、典型案例，切实将政治理论学习转化为生动实践，坚决杜绝</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照本宣科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A3BB1">
            <w:pPr>
              <w:jc w:val="center"/>
              <w:rPr>
                <w:rFonts w:hint="default" w:ascii="Times New Roman" w:hAnsi="Times New Roman" w:eastAsia="宋体" w:cs="Times New Roman"/>
                <w:i w:val="0"/>
                <w:iCs w:val="0"/>
                <w:color w:val="000000"/>
                <w:sz w:val="24"/>
                <w:szCs w:val="24"/>
                <w:u w:val="none"/>
              </w:rPr>
            </w:pPr>
          </w:p>
        </w:tc>
      </w:tr>
      <w:tr w14:paraId="7BEAC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3" w:hRule="atLeast"/>
        </w:trPr>
        <w:tc>
          <w:tcPr>
            <w:tcW w:w="705" w:type="dxa"/>
            <w:tcBorders>
              <w:top w:val="single" w:color="000000" w:sz="4" w:space="0"/>
              <w:left w:val="single" w:color="000000" w:sz="4" w:space="0"/>
              <w:bottom w:val="single" w:color="auto" w:sz="4" w:space="0"/>
              <w:right w:val="single" w:color="auto" w:sz="4" w:space="0"/>
            </w:tcBorders>
            <w:shd w:val="clear" w:color="auto" w:fill="auto"/>
            <w:vAlign w:val="center"/>
          </w:tcPr>
          <w:p w14:paraId="1433182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2117" w:type="dxa"/>
            <w:vMerge w:val="continue"/>
            <w:tcBorders>
              <w:top w:val="single" w:color="000000" w:sz="4" w:space="0"/>
              <w:left w:val="single" w:color="auto" w:sz="4" w:space="0"/>
              <w:bottom w:val="single" w:color="auto" w:sz="4" w:space="0"/>
              <w:right w:val="single" w:color="000000" w:sz="4" w:space="0"/>
            </w:tcBorders>
            <w:shd w:val="clear" w:color="auto" w:fill="auto"/>
            <w:vAlign w:val="center"/>
          </w:tcPr>
          <w:p w14:paraId="1FC3FBBD">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370" w:type="dxa"/>
            <w:tcBorders>
              <w:top w:val="single" w:color="000000" w:sz="4" w:space="0"/>
              <w:left w:val="single" w:color="000000" w:sz="4" w:space="0"/>
              <w:bottom w:val="single" w:color="auto" w:sz="4" w:space="0"/>
              <w:right w:val="single" w:color="auto" w:sz="4" w:space="0"/>
            </w:tcBorders>
            <w:shd w:val="clear" w:color="auto" w:fill="auto"/>
            <w:vAlign w:val="center"/>
          </w:tcPr>
          <w:p w14:paraId="471EF35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r>
              <w:rPr>
                <w:rFonts w:ascii="方正仿宋简体" w:hAnsi="方正仿宋简体" w:eastAsia="方正仿宋简体" w:cs="方正仿宋简体"/>
                <w:i w:val="0"/>
                <w:iCs w:val="0"/>
                <w:color w:val="000000"/>
                <w:kern w:val="0"/>
                <w:sz w:val="24"/>
                <w:szCs w:val="24"/>
                <w:u w:val="none"/>
                <w:lang w:val="en-US" w:eastAsia="zh-CN" w:bidi="ar"/>
              </w:rPr>
              <w:t>补齐监督管理短板。</w:t>
            </w:r>
          </w:p>
        </w:tc>
        <w:tc>
          <w:tcPr>
            <w:tcW w:w="5817" w:type="dxa"/>
            <w:tcBorders>
              <w:top w:val="single" w:color="000000" w:sz="4" w:space="0"/>
              <w:left w:val="single" w:color="auto" w:sz="4" w:space="0"/>
              <w:bottom w:val="single" w:color="000000" w:sz="4" w:space="0"/>
              <w:right w:val="single" w:color="000000" w:sz="4" w:space="0"/>
            </w:tcBorders>
            <w:shd w:val="clear" w:color="auto" w:fill="auto"/>
            <w:vAlign w:val="center"/>
          </w:tcPr>
          <w:p w14:paraId="3AB54DB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开展集体资金专项排查整治，对</w:t>
            </w:r>
            <w:r>
              <w:rPr>
                <w:rFonts w:hint="default" w:ascii="Times New Roman" w:hAnsi="Times New Roman" w:eastAsia="方正仿宋简体" w:cs="Times New Roman"/>
                <w:i w:val="0"/>
                <w:iCs w:val="0"/>
                <w:color w:val="000000"/>
                <w:kern w:val="0"/>
                <w:sz w:val="24"/>
                <w:szCs w:val="24"/>
                <w:u w:val="none"/>
                <w:lang w:val="en-US" w:eastAsia="zh-CN" w:bidi="ar"/>
              </w:rPr>
              <w:t>16</w:t>
            </w:r>
            <w:r>
              <w:rPr>
                <w:rFonts w:ascii="方正仿宋简体" w:hAnsi="方正仿宋简体" w:eastAsia="方正仿宋简体" w:cs="方正仿宋简体"/>
                <w:i w:val="0"/>
                <w:iCs w:val="0"/>
                <w:color w:val="000000"/>
                <w:kern w:val="0"/>
                <w:sz w:val="24"/>
                <w:szCs w:val="24"/>
                <w:u w:val="none"/>
                <w:lang w:val="en-US" w:eastAsia="zh-CN" w:bidi="ar"/>
              </w:rPr>
              <w:t>个村民小组近</w:t>
            </w:r>
            <w:r>
              <w:rPr>
                <w:rFonts w:hint="default" w:ascii="Times New Roman" w:hAnsi="Times New Roman" w:eastAsia="方正仿宋简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年的资金留存、使用情况进行全面核查，相关结余资金已存入会计委托代理服务中心。</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村务监督委员会主任参加谦六乡</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年下半年集中整治暨村务监督工作会议</w:t>
            </w:r>
            <w:r>
              <w:rPr>
                <w:rFonts w:hint="default" w:ascii="Times New Roman" w:hAnsi="Times New Roman" w:eastAsia="方正仿宋简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次、谦六乡农村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管理工作业务培训会议</w:t>
            </w:r>
            <w:r>
              <w:rPr>
                <w:rFonts w:hint="default" w:ascii="Times New Roman" w:hAnsi="Times New Roman" w:eastAsia="方正仿宋简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次，组织村务监督委员会成员开展专题培训</w:t>
            </w:r>
            <w:r>
              <w:rPr>
                <w:rFonts w:hint="default" w:ascii="Times New Roman" w:hAnsi="Times New Roman" w:eastAsia="方正仿宋简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次，掌握村级事务监督的重点、流程与方法，使其在村级事务监督和风险防范中发挥更大作用。</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根据村务监督委员会岗位职责，将村民小组资金监督工作纳入村务监督委员会年度重点工作，倒逼主动履职、精准监督。</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E36C7">
            <w:pPr>
              <w:jc w:val="center"/>
              <w:rPr>
                <w:rFonts w:hint="default" w:ascii="Times New Roman" w:hAnsi="Times New Roman" w:eastAsia="宋体" w:cs="Times New Roman"/>
                <w:i w:val="0"/>
                <w:iCs w:val="0"/>
                <w:color w:val="000000"/>
                <w:sz w:val="24"/>
                <w:szCs w:val="24"/>
                <w:u w:val="none"/>
              </w:rPr>
            </w:pPr>
          </w:p>
        </w:tc>
      </w:tr>
      <w:tr w14:paraId="4C0F6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73" w:hRule="atLeast"/>
        </w:trPr>
        <w:tc>
          <w:tcPr>
            <w:tcW w:w="705" w:type="dxa"/>
            <w:tcBorders>
              <w:top w:val="single" w:color="auto" w:sz="4" w:space="0"/>
              <w:left w:val="single" w:color="auto" w:sz="4" w:space="0"/>
              <w:bottom w:val="single" w:color="000000" w:sz="4" w:space="0"/>
              <w:right w:val="single" w:color="auto" w:sz="4" w:space="0"/>
            </w:tcBorders>
            <w:shd w:val="clear" w:color="auto" w:fill="auto"/>
            <w:vAlign w:val="center"/>
          </w:tcPr>
          <w:p w14:paraId="3A52E3B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2117" w:type="dxa"/>
            <w:vMerge w:val="continue"/>
            <w:tcBorders>
              <w:top w:val="single" w:color="auto" w:sz="4" w:space="0"/>
              <w:left w:val="single" w:color="auto" w:sz="4" w:space="0"/>
              <w:bottom w:val="nil"/>
              <w:right w:val="single" w:color="000000" w:sz="4" w:space="0"/>
            </w:tcBorders>
            <w:shd w:val="clear" w:color="auto" w:fill="auto"/>
            <w:vAlign w:val="center"/>
          </w:tcPr>
          <w:p w14:paraId="41A74700">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370" w:type="dxa"/>
            <w:tcBorders>
              <w:top w:val="single" w:color="auto" w:sz="4" w:space="0"/>
              <w:left w:val="single" w:color="000000" w:sz="4" w:space="0"/>
              <w:bottom w:val="single" w:color="000000" w:sz="4" w:space="0"/>
              <w:right w:val="single" w:color="auto" w:sz="4" w:space="0"/>
            </w:tcBorders>
            <w:shd w:val="clear" w:color="auto" w:fill="auto"/>
            <w:vAlign w:val="center"/>
          </w:tcPr>
          <w:p w14:paraId="0262D7F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r>
              <w:rPr>
                <w:rFonts w:ascii="方正仿宋简体" w:hAnsi="方正仿宋简体" w:eastAsia="方正仿宋简体" w:cs="方正仿宋简体"/>
                <w:i w:val="0"/>
                <w:iCs w:val="0"/>
                <w:color w:val="000000"/>
                <w:kern w:val="0"/>
                <w:sz w:val="24"/>
                <w:szCs w:val="24"/>
                <w:u w:val="none"/>
                <w:lang w:val="en-US" w:eastAsia="zh-CN" w:bidi="ar"/>
              </w:rPr>
              <w:t>全力抓好特困人员救助供养政策落实。</w:t>
            </w:r>
          </w:p>
        </w:tc>
        <w:tc>
          <w:tcPr>
            <w:tcW w:w="5817" w:type="dxa"/>
            <w:tcBorders>
              <w:top w:val="single" w:color="000000" w:sz="4" w:space="0"/>
              <w:left w:val="single" w:color="auto" w:sz="4" w:space="0"/>
              <w:bottom w:val="single" w:color="000000" w:sz="4" w:space="0"/>
              <w:right w:val="single" w:color="000000" w:sz="4" w:space="0"/>
            </w:tcBorders>
            <w:shd w:val="clear" w:color="auto" w:fill="auto"/>
            <w:vAlign w:val="center"/>
          </w:tcPr>
          <w:p w14:paraId="53D9E02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由村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干部、驻村工作队员牵头，联合村务监督委员会成员，入户核查勐撒组该户情况，详细核实其家庭人口、收入状况、健康情况等关键信息，确认该户符合特困人员救助供养条件。</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全程协助办理手续。主动对接乡社会事务办公室，指导该村民准备身份证、户口本、收入证明等相关材料，于</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6</w:t>
            </w:r>
            <w:r>
              <w:rPr>
                <w:rFonts w:ascii="方正仿宋简体" w:hAnsi="方正仿宋简体" w:eastAsia="方正仿宋简体" w:cs="方正仿宋简体"/>
                <w:i w:val="0"/>
                <w:iCs w:val="0"/>
                <w:color w:val="000000"/>
                <w:kern w:val="0"/>
                <w:sz w:val="24"/>
                <w:szCs w:val="24"/>
                <w:u w:val="none"/>
                <w:lang w:val="en-US" w:eastAsia="zh-CN" w:bidi="ar"/>
              </w:rPr>
              <w:t>月提交申请，经村级初审、乡级审核、县级审批，该户于</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7</w:t>
            </w:r>
            <w:r>
              <w:rPr>
                <w:rFonts w:ascii="方正仿宋简体" w:hAnsi="方正仿宋简体" w:eastAsia="方正仿宋简体" w:cs="方正仿宋简体"/>
                <w:i w:val="0"/>
                <w:iCs w:val="0"/>
                <w:color w:val="000000"/>
                <w:kern w:val="0"/>
                <w:sz w:val="24"/>
                <w:szCs w:val="24"/>
                <w:u w:val="none"/>
                <w:lang w:val="en-US" w:eastAsia="zh-CN" w:bidi="ar"/>
              </w:rPr>
              <w:t>月纳入特困人员救助供养。</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村级民政协理员参加乡级业务培训，使其熟练掌握社会救助政策与经办流程，提升主动发现、精准救助、贴心服务的能力。</w:t>
            </w:r>
            <w:r>
              <w:rPr>
                <w:rFonts w:hint="eastAsia" w:ascii="方正仿宋简体" w:hAnsi="方正仿宋简体" w:eastAsia="方正仿宋简体" w:cs="方正仿宋简体"/>
                <w:b/>
                <w:bCs/>
                <w:i w:val="0"/>
                <w:iCs w:val="0"/>
                <w:color w:val="000000"/>
                <w:kern w:val="0"/>
                <w:sz w:val="24"/>
                <w:szCs w:val="24"/>
                <w:u w:val="none"/>
                <w:lang w:val="en-US" w:eastAsia="zh-CN" w:bidi="ar"/>
              </w:rPr>
              <w:t>四是</w:t>
            </w:r>
            <w:r>
              <w:rPr>
                <w:rFonts w:ascii="方正仿宋简体" w:hAnsi="方正仿宋简体" w:eastAsia="方正仿宋简体" w:cs="方正仿宋简体"/>
                <w:i w:val="0"/>
                <w:iCs w:val="0"/>
                <w:color w:val="000000"/>
                <w:kern w:val="0"/>
                <w:sz w:val="24"/>
                <w:szCs w:val="24"/>
                <w:u w:val="none"/>
                <w:lang w:val="en-US" w:eastAsia="zh-CN" w:bidi="ar"/>
              </w:rPr>
              <w:t>通过政策宣讲与入户排查相结合，为有需要的困难群众提供全流程的精准协办与手续帮办服务，并做好动态跟踪。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2A483">
            <w:pPr>
              <w:jc w:val="center"/>
              <w:rPr>
                <w:rFonts w:hint="default" w:ascii="Times New Roman" w:hAnsi="Times New Roman" w:eastAsia="宋体" w:cs="Times New Roman"/>
                <w:i w:val="0"/>
                <w:iCs w:val="0"/>
                <w:color w:val="000000"/>
                <w:sz w:val="24"/>
                <w:szCs w:val="24"/>
                <w:u w:val="none"/>
              </w:rPr>
            </w:pPr>
          </w:p>
        </w:tc>
      </w:tr>
      <w:tr w14:paraId="01BDD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3" w:hRule="atLeast"/>
        </w:trPr>
        <w:tc>
          <w:tcPr>
            <w:tcW w:w="705" w:type="dxa"/>
            <w:tcBorders>
              <w:top w:val="single" w:color="000000" w:sz="4" w:space="0"/>
              <w:left w:val="single" w:color="auto" w:sz="4" w:space="0"/>
              <w:bottom w:val="single" w:color="000000" w:sz="4" w:space="0"/>
              <w:right w:val="single" w:color="auto" w:sz="4" w:space="0"/>
            </w:tcBorders>
            <w:shd w:val="clear" w:color="auto" w:fill="auto"/>
            <w:vAlign w:val="center"/>
          </w:tcPr>
          <w:p w14:paraId="6C2253A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2117" w:type="dxa"/>
            <w:vMerge w:val="continue"/>
            <w:tcBorders>
              <w:top w:val="single" w:color="000000" w:sz="4" w:space="0"/>
              <w:left w:val="single" w:color="auto" w:sz="4" w:space="0"/>
              <w:bottom w:val="nil"/>
              <w:right w:val="single" w:color="000000" w:sz="4" w:space="0"/>
            </w:tcBorders>
            <w:shd w:val="clear" w:color="auto" w:fill="auto"/>
            <w:vAlign w:val="center"/>
          </w:tcPr>
          <w:p w14:paraId="2A028777">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370" w:type="dxa"/>
            <w:tcBorders>
              <w:top w:val="single" w:color="000000" w:sz="4" w:space="0"/>
              <w:left w:val="single" w:color="000000" w:sz="4" w:space="0"/>
              <w:bottom w:val="single" w:color="000000" w:sz="4" w:space="0"/>
              <w:right w:val="single" w:color="auto" w:sz="4" w:space="0"/>
            </w:tcBorders>
            <w:shd w:val="clear" w:color="auto" w:fill="auto"/>
            <w:vAlign w:val="center"/>
          </w:tcPr>
          <w:p w14:paraId="6872427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r>
              <w:rPr>
                <w:rFonts w:ascii="方正仿宋简体" w:hAnsi="方正仿宋简体" w:eastAsia="方正仿宋简体" w:cs="方正仿宋简体"/>
                <w:i w:val="0"/>
                <w:iCs w:val="0"/>
                <w:color w:val="000000"/>
                <w:kern w:val="0"/>
                <w:sz w:val="24"/>
                <w:szCs w:val="24"/>
                <w:u w:val="none"/>
                <w:lang w:val="en-US" w:eastAsia="zh-CN" w:bidi="ar"/>
              </w:rPr>
              <w:t>持续巩固拓展脱贫攻坚成果同乡村振兴有效衔接。</w:t>
            </w:r>
          </w:p>
        </w:tc>
        <w:tc>
          <w:tcPr>
            <w:tcW w:w="5817" w:type="dxa"/>
            <w:tcBorders>
              <w:top w:val="single" w:color="000000" w:sz="4" w:space="0"/>
              <w:left w:val="single" w:color="auto" w:sz="4" w:space="0"/>
              <w:bottom w:val="single" w:color="000000" w:sz="4" w:space="0"/>
              <w:right w:val="single" w:color="000000" w:sz="4" w:space="0"/>
            </w:tcBorders>
            <w:shd w:val="clear" w:color="auto" w:fill="auto"/>
            <w:vAlign w:val="center"/>
          </w:tcPr>
          <w:p w14:paraId="6C919A6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面向村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、驻村工作队、挂组人员，开展巩固拓展脱贫攻坚成果同乡村振兴有效衔接政策解读，明确防返贫动态监测台账归档清单，提升工作人员政策理解和材料审核能力。</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组织开展防返贫动态监测台账的全面核查，重点核查基础信息是否准确完整、监测程序是否规范、帮扶措施是否精准有效，进一步规范完善台账。</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严格按照程序，以常态化走访排查为基础，实行</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月分析</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动态管理，每月更新监测台账，确保流程合规、材料完整、数据真实。</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C446E">
            <w:pPr>
              <w:jc w:val="center"/>
              <w:rPr>
                <w:rFonts w:hint="default" w:ascii="Times New Roman" w:hAnsi="Times New Roman" w:eastAsia="宋体" w:cs="Times New Roman"/>
                <w:i w:val="0"/>
                <w:iCs w:val="0"/>
                <w:color w:val="000000"/>
                <w:sz w:val="24"/>
                <w:szCs w:val="24"/>
                <w:u w:val="none"/>
              </w:rPr>
            </w:pPr>
          </w:p>
        </w:tc>
      </w:tr>
      <w:tr w14:paraId="30E49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6" w:hRule="atLeast"/>
        </w:trPr>
        <w:tc>
          <w:tcPr>
            <w:tcW w:w="705" w:type="dxa"/>
            <w:tcBorders>
              <w:top w:val="single" w:color="000000" w:sz="4" w:space="0"/>
              <w:left w:val="single" w:color="auto" w:sz="4" w:space="0"/>
              <w:bottom w:val="single" w:color="000000" w:sz="4" w:space="0"/>
              <w:right w:val="single" w:color="auto" w:sz="4" w:space="0"/>
            </w:tcBorders>
            <w:shd w:val="clear" w:color="auto" w:fill="auto"/>
            <w:vAlign w:val="center"/>
          </w:tcPr>
          <w:p w14:paraId="0500397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2117" w:type="dxa"/>
            <w:vMerge w:val="continue"/>
            <w:tcBorders>
              <w:top w:val="single" w:color="000000" w:sz="4" w:space="0"/>
              <w:left w:val="single" w:color="auto" w:sz="4" w:space="0"/>
              <w:bottom w:val="nil"/>
              <w:right w:val="single" w:color="000000" w:sz="4" w:space="0"/>
            </w:tcBorders>
            <w:shd w:val="clear" w:color="auto" w:fill="auto"/>
            <w:vAlign w:val="center"/>
          </w:tcPr>
          <w:p w14:paraId="79FE9510">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370" w:type="dxa"/>
            <w:tcBorders>
              <w:top w:val="single" w:color="000000" w:sz="4" w:space="0"/>
              <w:left w:val="single" w:color="000000" w:sz="4" w:space="0"/>
              <w:bottom w:val="single" w:color="000000" w:sz="4" w:space="0"/>
              <w:right w:val="single" w:color="auto" w:sz="4" w:space="0"/>
            </w:tcBorders>
            <w:shd w:val="clear" w:color="auto" w:fill="auto"/>
            <w:vAlign w:val="center"/>
          </w:tcPr>
          <w:p w14:paraId="79E7A50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r>
              <w:rPr>
                <w:rFonts w:ascii="方正仿宋简体" w:hAnsi="方正仿宋简体" w:eastAsia="方正仿宋简体" w:cs="方正仿宋简体"/>
                <w:i w:val="0"/>
                <w:iCs w:val="0"/>
                <w:color w:val="000000"/>
                <w:kern w:val="0"/>
                <w:sz w:val="24"/>
                <w:szCs w:val="24"/>
                <w:u w:val="none"/>
                <w:lang w:val="en-US" w:eastAsia="zh-CN" w:bidi="ar"/>
              </w:rPr>
              <w:t>加快落实征地补偿资金。</w:t>
            </w:r>
          </w:p>
        </w:tc>
        <w:tc>
          <w:tcPr>
            <w:tcW w:w="5817" w:type="dxa"/>
            <w:tcBorders>
              <w:top w:val="single" w:color="000000" w:sz="4" w:space="0"/>
              <w:left w:val="single" w:color="auto" w:sz="4" w:space="0"/>
              <w:bottom w:val="single" w:color="000000" w:sz="4" w:space="0"/>
              <w:right w:val="single" w:color="000000" w:sz="4" w:space="0"/>
            </w:tcBorders>
            <w:shd w:val="clear" w:color="auto" w:fill="auto"/>
            <w:vAlign w:val="center"/>
          </w:tcPr>
          <w:p w14:paraId="4D3E62E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组织征地核查工作。对</w:t>
            </w:r>
            <w:r>
              <w:rPr>
                <w:rFonts w:hint="default" w:ascii="Times New Roman" w:hAnsi="Times New Roman" w:eastAsia="方正仿宋简体" w:cs="Times New Roman"/>
                <w:i w:val="0"/>
                <w:iCs w:val="0"/>
                <w:color w:val="000000"/>
                <w:kern w:val="0"/>
                <w:sz w:val="24"/>
                <w:szCs w:val="24"/>
                <w:u w:val="none"/>
                <w:lang w:val="en-US" w:eastAsia="zh-CN" w:bidi="ar"/>
              </w:rPr>
              <w:t>2020</w:t>
            </w:r>
            <w:r>
              <w:rPr>
                <w:rFonts w:ascii="方正仿宋简体" w:hAnsi="方正仿宋简体" w:eastAsia="方正仿宋简体" w:cs="方正仿宋简体"/>
                <w:i w:val="0"/>
                <w:iCs w:val="0"/>
                <w:color w:val="000000"/>
                <w:kern w:val="0"/>
                <w:sz w:val="24"/>
                <w:szCs w:val="24"/>
                <w:u w:val="none"/>
                <w:lang w:val="en-US" w:eastAsia="zh-CN" w:bidi="ar"/>
              </w:rPr>
              <w:t>年腊撒村凉水箐组实施人畜分离项目征地范围、面积、涉及农户数量及补偿标准开展核实，形成详细台账。</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主动向上对接。向乡人民政府及相关主管部门汇报情况，已提交征地核实材料及补偿需求申请，争取上级专项补助资金或项目资金调剂支持，推动补偿款足额落实。</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主动做好农户沟通疏导。组织村干部逐户走访涉及农户，说明补偿款未到位的原因及整改推进情况，争取农户理解，避免矛盾激化。</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EDB31">
            <w:pPr>
              <w:jc w:val="center"/>
              <w:rPr>
                <w:rFonts w:hint="default" w:ascii="Times New Roman" w:hAnsi="Times New Roman" w:eastAsia="宋体" w:cs="Times New Roman"/>
                <w:i w:val="0"/>
                <w:iCs w:val="0"/>
                <w:color w:val="000000"/>
                <w:sz w:val="24"/>
                <w:szCs w:val="24"/>
                <w:u w:val="none"/>
              </w:rPr>
            </w:pPr>
          </w:p>
        </w:tc>
      </w:tr>
      <w:tr w14:paraId="3A80B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705" w:type="dxa"/>
            <w:tcBorders>
              <w:top w:val="single" w:color="000000" w:sz="4" w:space="0"/>
              <w:left w:val="single" w:color="auto" w:sz="4" w:space="0"/>
              <w:bottom w:val="single" w:color="auto" w:sz="4" w:space="0"/>
              <w:right w:val="single" w:color="auto" w:sz="4" w:space="0"/>
            </w:tcBorders>
            <w:shd w:val="clear" w:color="auto" w:fill="auto"/>
            <w:vAlign w:val="center"/>
          </w:tcPr>
          <w:p w14:paraId="5A4922B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w:t>
            </w:r>
          </w:p>
        </w:tc>
        <w:tc>
          <w:tcPr>
            <w:tcW w:w="2117" w:type="dxa"/>
            <w:vMerge w:val="continue"/>
            <w:tcBorders>
              <w:top w:val="single" w:color="000000" w:sz="4" w:space="0"/>
              <w:left w:val="single" w:color="auto" w:sz="4" w:space="0"/>
              <w:bottom w:val="single" w:color="auto" w:sz="4" w:space="0"/>
              <w:right w:val="single" w:color="000000" w:sz="4" w:space="0"/>
            </w:tcBorders>
            <w:shd w:val="clear" w:color="auto" w:fill="auto"/>
            <w:vAlign w:val="center"/>
          </w:tcPr>
          <w:p w14:paraId="0E2193EB">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370" w:type="dxa"/>
            <w:tcBorders>
              <w:top w:val="single" w:color="000000" w:sz="4" w:space="0"/>
              <w:left w:val="single" w:color="000000" w:sz="4" w:space="0"/>
              <w:bottom w:val="single" w:color="auto" w:sz="4" w:space="0"/>
              <w:right w:val="single" w:color="auto" w:sz="4" w:space="0"/>
            </w:tcBorders>
            <w:shd w:val="clear" w:color="auto" w:fill="auto"/>
            <w:vAlign w:val="center"/>
          </w:tcPr>
          <w:p w14:paraId="27930F0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r>
              <w:rPr>
                <w:rFonts w:ascii="方正仿宋简体" w:hAnsi="方正仿宋简体" w:eastAsia="方正仿宋简体" w:cs="方正仿宋简体"/>
                <w:i w:val="0"/>
                <w:iCs w:val="0"/>
                <w:color w:val="000000"/>
                <w:kern w:val="0"/>
                <w:sz w:val="24"/>
                <w:szCs w:val="24"/>
                <w:u w:val="none"/>
                <w:lang w:val="en-US" w:eastAsia="zh-CN" w:bidi="ar"/>
              </w:rPr>
              <w:t>从严核验搬迁补助资金使用情况。</w:t>
            </w:r>
          </w:p>
        </w:tc>
        <w:tc>
          <w:tcPr>
            <w:tcW w:w="5817" w:type="dxa"/>
            <w:tcBorders>
              <w:top w:val="single" w:color="000000" w:sz="4" w:space="0"/>
              <w:left w:val="single" w:color="auto" w:sz="4" w:space="0"/>
              <w:bottom w:val="single" w:color="000000" w:sz="4" w:space="0"/>
              <w:right w:val="single" w:color="000000" w:sz="4" w:space="0"/>
            </w:tcBorders>
            <w:shd w:val="clear" w:color="auto" w:fill="auto"/>
            <w:vAlign w:val="center"/>
          </w:tcPr>
          <w:p w14:paraId="362C0DE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sz w:val="24"/>
                <w:szCs w:val="24"/>
                <w:u w:val="none"/>
              </w:rPr>
            </w:pPr>
            <w:r>
              <w:rPr>
                <w:rFonts w:hint="eastAsia" w:ascii="方正仿宋简体" w:hAnsi="方正仿宋简体" w:eastAsia="方正仿宋简体" w:cs="方正仿宋简体"/>
                <w:i w:val="0"/>
                <w:iCs w:val="0"/>
                <w:color w:val="000000"/>
                <w:kern w:val="0"/>
                <w:sz w:val="24"/>
                <w:szCs w:val="24"/>
                <w:u w:val="none"/>
                <w:lang w:val="en-US" w:eastAsia="zh-CN" w:bidi="ar"/>
              </w:rPr>
              <w:t>小新寨组该户因常年外出，经多方努力尝试，仍暂时无法取得有效联系。将继续拓宽联系渠道，积极对接相关方面，全力探寻一切可行的解决方式。</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69BCF">
            <w:pPr>
              <w:jc w:val="center"/>
              <w:rPr>
                <w:rFonts w:hint="default" w:ascii="Times New Roman" w:hAnsi="Times New Roman" w:eastAsia="宋体" w:cs="Times New Roman"/>
                <w:i w:val="0"/>
                <w:iCs w:val="0"/>
                <w:color w:val="000000"/>
                <w:sz w:val="24"/>
                <w:szCs w:val="24"/>
                <w:u w:val="none"/>
              </w:rPr>
            </w:pPr>
          </w:p>
        </w:tc>
      </w:tr>
      <w:tr w14:paraId="1BB29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6" w:hRule="atLeast"/>
        </w:trPr>
        <w:tc>
          <w:tcPr>
            <w:tcW w:w="705" w:type="dxa"/>
            <w:tcBorders>
              <w:top w:val="single" w:color="auto" w:sz="4" w:space="0"/>
              <w:left w:val="single" w:color="000000" w:sz="4" w:space="0"/>
              <w:bottom w:val="single" w:color="000000" w:sz="4" w:space="0"/>
              <w:right w:val="single" w:color="auto" w:sz="4" w:space="0"/>
            </w:tcBorders>
            <w:shd w:val="clear" w:color="auto" w:fill="auto"/>
            <w:vAlign w:val="center"/>
          </w:tcPr>
          <w:p w14:paraId="001428B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2117" w:type="dxa"/>
            <w:vMerge w:val="continue"/>
            <w:tcBorders>
              <w:top w:val="single" w:color="auto" w:sz="4" w:space="0"/>
              <w:left w:val="single" w:color="auto" w:sz="4" w:space="0"/>
              <w:bottom w:val="nil"/>
              <w:right w:val="single" w:color="000000" w:sz="4" w:space="0"/>
            </w:tcBorders>
            <w:shd w:val="clear" w:color="auto" w:fill="auto"/>
            <w:vAlign w:val="center"/>
          </w:tcPr>
          <w:p w14:paraId="645120D7">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370" w:type="dxa"/>
            <w:tcBorders>
              <w:top w:val="single" w:color="auto" w:sz="4" w:space="0"/>
              <w:left w:val="single" w:color="000000" w:sz="4" w:space="0"/>
              <w:bottom w:val="single" w:color="000000" w:sz="4" w:space="0"/>
              <w:right w:val="single" w:color="000000" w:sz="4" w:space="0"/>
            </w:tcBorders>
            <w:shd w:val="clear" w:color="auto" w:fill="auto"/>
            <w:vAlign w:val="center"/>
          </w:tcPr>
          <w:p w14:paraId="0E1DC97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w:t>
            </w:r>
            <w:r>
              <w:rPr>
                <w:rFonts w:ascii="方正仿宋简体" w:hAnsi="方正仿宋简体" w:eastAsia="方正仿宋简体" w:cs="方正仿宋简体"/>
                <w:i w:val="0"/>
                <w:iCs w:val="0"/>
                <w:color w:val="000000"/>
                <w:kern w:val="0"/>
                <w:sz w:val="24"/>
                <w:szCs w:val="24"/>
                <w:u w:val="none"/>
                <w:lang w:val="en-US" w:eastAsia="zh-CN" w:bidi="ar"/>
              </w:rPr>
              <w:t>加大普法宣传力度，强化矛盾纠纷化解。</w:t>
            </w:r>
          </w:p>
        </w:tc>
        <w:tc>
          <w:tcPr>
            <w:tcW w:w="5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206E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强化党员日常管理，组织全体党员学习《中国共产党纪律处分条例》，签订</w:t>
            </w:r>
            <w:r>
              <w:rPr>
                <w:rFonts w:hint="default" w:ascii="Times New Roman" w:hAnsi="Times New Roman" w:eastAsia="方正仿宋简体" w:cs="Times New Roman"/>
                <w:i w:val="0"/>
                <w:iCs w:val="0"/>
                <w:color w:val="000000"/>
                <w:kern w:val="0"/>
                <w:sz w:val="24"/>
                <w:szCs w:val="24"/>
                <w:u w:val="none"/>
                <w:lang w:val="en-US" w:eastAsia="zh-CN" w:bidi="ar"/>
              </w:rPr>
              <w:t>63</w:t>
            </w:r>
            <w:r>
              <w:rPr>
                <w:rFonts w:ascii="方正仿宋简体" w:hAnsi="方正仿宋简体" w:eastAsia="方正仿宋简体" w:cs="方正仿宋简体"/>
                <w:i w:val="0"/>
                <w:iCs w:val="0"/>
                <w:color w:val="000000"/>
                <w:kern w:val="0"/>
                <w:sz w:val="24"/>
                <w:szCs w:val="24"/>
                <w:u w:val="none"/>
                <w:lang w:val="en-US" w:eastAsia="zh-CN" w:bidi="ar"/>
              </w:rPr>
              <w:t>份承诺书，因酒驾受到党内警告处分党员提交深刻检讨，后续纳入党支部重点跟踪教育，未再发生违纪行为。</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对</w:t>
            </w:r>
            <w:r>
              <w:rPr>
                <w:rFonts w:hint="default" w:ascii="Times New Roman" w:hAnsi="Times New Roman" w:eastAsia="方正仿宋简体" w:cs="Times New Roman"/>
                <w:i w:val="0"/>
                <w:iCs w:val="0"/>
                <w:color w:val="000000"/>
                <w:kern w:val="0"/>
                <w:sz w:val="24"/>
                <w:szCs w:val="24"/>
                <w:u w:val="none"/>
                <w:lang w:val="en-US" w:eastAsia="zh-CN" w:bidi="ar"/>
              </w:rPr>
              <w:t>6</w:t>
            </w:r>
            <w:r>
              <w:rPr>
                <w:rFonts w:ascii="方正仿宋简体" w:hAnsi="方正仿宋简体" w:eastAsia="方正仿宋简体" w:cs="方正仿宋简体"/>
                <w:i w:val="0"/>
                <w:iCs w:val="0"/>
                <w:color w:val="000000"/>
                <w:kern w:val="0"/>
                <w:sz w:val="24"/>
                <w:szCs w:val="24"/>
                <w:u w:val="none"/>
                <w:lang w:val="en-US" w:eastAsia="zh-CN" w:bidi="ar"/>
              </w:rPr>
              <w:t>起未化解矛盾纠纷分类梳理，成立由村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、驻村队员、老党员组成的调解专班，采取</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入户走访</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现场调解</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政策宣讲</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模式，逐一破解邻里宅基地、土地流转等纠纷，目前已成功化解</w:t>
            </w:r>
            <w:r>
              <w:rPr>
                <w:rFonts w:hint="default" w:ascii="Times New Roman" w:hAnsi="Times New Roman" w:eastAsia="方正仿宋简体" w:cs="Times New Roman"/>
                <w:i w:val="0"/>
                <w:iCs w:val="0"/>
                <w:color w:val="000000"/>
                <w:kern w:val="0"/>
                <w:sz w:val="24"/>
                <w:szCs w:val="24"/>
                <w:u w:val="none"/>
                <w:lang w:val="en-US" w:eastAsia="zh-CN" w:bidi="ar"/>
              </w:rPr>
              <w:t>4</w:t>
            </w:r>
            <w:r>
              <w:rPr>
                <w:rFonts w:ascii="方正仿宋简体" w:hAnsi="方正仿宋简体" w:eastAsia="方正仿宋简体" w:cs="方正仿宋简体"/>
                <w:i w:val="0"/>
                <w:iCs w:val="0"/>
                <w:color w:val="000000"/>
                <w:kern w:val="0"/>
                <w:sz w:val="24"/>
                <w:szCs w:val="24"/>
                <w:u w:val="none"/>
                <w:lang w:val="en-US" w:eastAsia="zh-CN" w:bidi="ar"/>
              </w:rPr>
              <w:t>起矛盾纠纷，另外</w:t>
            </w:r>
            <w:r>
              <w:rPr>
                <w:rFonts w:hint="default" w:ascii="Times New Roman" w:hAnsi="Times New Roman" w:eastAsia="方正仿宋简体" w:cs="Times New Roman"/>
                <w:i w:val="0"/>
                <w:iCs w:val="0"/>
                <w:color w:val="000000"/>
                <w:kern w:val="0"/>
                <w:sz w:val="24"/>
                <w:szCs w:val="24"/>
                <w:u w:val="none"/>
                <w:lang w:val="en-US" w:eastAsia="zh-CN" w:bidi="ar"/>
              </w:rPr>
              <w:t>2</w:t>
            </w:r>
            <w:r>
              <w:rPr>
                <w:rFonts w:ascii="方正仿宋简体" w:hAnsi="方正仿宋简体" w:eastAsia="方正仿宋简体" w:cs="方正仿宋简体"/>
                <w:i w:val="0"/>
                <w:iCs w:val="0"/>
                <w:color w:val="000000"/>
                <w:kern w:val="0"/>
                <w:sz w:val="24"/>
                <w:szCs w:val="24"/>
                <w:u w:val="none"/>
                <w:lang w:val="en-US" w:eastAsia="zh-CN" w:bidi="ar"/>
              </w:rPr>
              <w:t>起调解数次无果需通过司法途径依法妥善解决。</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加强党员违纪预警，开展分析研判、提醒教育，充分发挥党支部和群众监督作用，对苗头性、倾向性问题及时介入处理，做到早发现、早提醒、早纠正。开展</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法律明白人</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培养，以村委会为依托、村民小组为节点、党员户为触角，提供个性化法律服务和普法教育。并推行矛盾纠纷</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月排查、季汇总</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，畅通村民诉求渠道，从源头防范矛盾激化。</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B8DC0">
            <w:pPr>
              <w:jc w:val="center"/>
              <w:rPr>
                <w:rFonts w:hint="default" w:ascii="Times New Roman" w:hAnsi="Times New Roman" w:eastAsia="宋体" w:cs="Times New Roman"/>
                <w:i w:val="0"/>
                <w:iCs w:val="0"/>
                <w:color w:val="000000"/>
                <w:sz w:val="24"/>
                <w:szCs w:val="24"/>
                <w:u w:val="none"/>
              </w:rPr>
            </w:pPr>
          </w:p>
        </w:tc>
      </w:tr>
      <w:tr w14:paraId="133B3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705" w:type="dxa"/>
            <w:tcBorders>
              <w:top w:val="single" w:color="000000" w:sz="4" w:space="0"/>
              <w:left w:val="single" w:color="000000" w:sz="4" w:space="0"/>
              <w:bottom w:val="single" w:color="000000" w:sz="4" w:space="0"/>
              <w:right w:val="single" w:color="auto" w:sz="4" w:space="0"/>
            </w:tcBorders>
            <w:shd w:val="clear" w:color="auto" w:fill="auto"/>
            <w:vAlign w:val="center"/>
          </w:tcPr>
          <w:p w14:paraId="32036D7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w:t>
            </w:r>
          </w:p>
        </w:tc>
        <w:tc>
          <w:tcPr>
            <w:tcW w:w="2117" w:type="dxa"/>
            <w:vMerge w:val="continue"/>
            <w:tcBorders>
              <w:top w:val="single" w:color="000000" w:sz="4" w:space="0"/>
              <w:left w:val="single" w:color="auto" w:sz="4" w:space="0"/>
              <w:bottom w:val="nil"/>
              <w:right w:val="single" w:color="000000" w:sz="4" w:space="0"/>
            </w:tcBorders>
            <w:shd w:val="clear" w:color="auto" w:fill="auto"/>
            <w:vAlign w:val="center"/>
          </w:tcPr>
          <w:p w14:paraId="202530D6">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7E3D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r>
              <w:rPr>
                <w:rFonts w:ascii="方正仿宋简体" w:hAnsi="方正仿宋简体" w:eastAsia="方正仿宋简体" w:cs="方正仿宋简体"/>
                <w:i w:val="0"/>
                <w:iCs w:val="0"/>
                <w:color w:val="000000"/>
                <w:kern w:val="0"/>
                <w:sz w:val="24"/>
                <w:szCs w:val="24"/>
                <w:u w:val="none"/>
                <w:lang w:val="en-US" w:eastAsia="zh-CN" w:bidi="ar"/>
              </w:rPr>
              <w:t>狠抓农村人居环境整治。</w:t>
            </w:r>
          </w:p>
        </w:tc>
        <w:tc>
          <w:tcPr>
            <w:tcW w:w="5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BDA7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开展</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清洁攻坚行动</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，组织党员干部、村民，清理小组道路沿线、房前屋后、沟渠池塘垃圾，规范杂物堆放，改善脏乱差现状。</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实行</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每周清扫</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，形成常态化保洁模式。</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通过村民大会、微信群、宣传栏等渠道宣传卫生知识</w:t>
            </w:r>
            <w:r>
              <w:rPr>
                <w:rFonts w:hint="default" w:ascii="Times New Roman" w:hAnsi="Times New Roman" w:eastAsia="方正仿宋简体" w:cs="Times New Roman"/>
                <w:i w:val="0"/>
                <w:iCs w:val="0"/>
                <w:color w:val="000000"/>
                <w:kern w:val="0"/>
                <w:sz w:val="24"/>
                <w:szCs w:val="24"/>
                <w:u w:val="none"/>
                <w:lang w:val="en-US" w:eastAsia="zh-CN" w:bidi="ar"/>
              </w:rPr>
              <w:t>20</w:t>
            </w:r>
            <w:r>
              <w:rPr>
                <w:rFonts w:ascii="方正仿宋简体" w:hAnsi="方正仿宋简体" w:eastAsia="方正仿宋简体" w:cs="方正仿宋简体"/>
                <w:i w:val="0"/>
                <w:iCs w:val="0"/>
                <w:color w:val="000000"/>
                <w:kern w:val="0"/>
                <w:sz w:val="24"/>
                <w:szCs w:val="24"/>
                <w:u w:val="none"/>
                <w:lang w:val="en-US" w:eastAsia="zh-CN" w:bidi="ar"/>
              </w:rPr>
              <w:t>余次，村民卫生意识显著提升，主动参与保洁的积极性明显增强，小组环境持续保持干净整洁。</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71571">
            <w:pPr>
              <w:jc w:val="center"/>
              <w:rPr>
                <w:rFonts w:hint="default" w:ascii="Times New Roman" w:hAnsi="Times New Roman" w:eastAsia="宋体" w:cs="Times New Roman"/>
                <w:i w:val="0"/>
                <w:iCs w:val="0"/>
                <w:color w:val="000000"/>
                <w:sz w:val="24"/>
                <w:szCs w:val="24"/>
                <w:u w:val="none"/>
              </w:rPr>
            </w:pPr>
          </w:p>
        </w:tc>
      </w:tr>
      <w:tr w14:paraId="7923C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705" w:type="dxa"/>
            <w:tcBorders>
              <w:top w:val="single" w:color="000000" w:sz="4" w:space="0"/>
              <w:left w:val="single" w:color="000000" w:sz="4" w:space="0"/>
              <w:bottom w:val="single" w:color="000000" w:sz="4" w:space="0"/>
              <w:right w:val="single" w:color="auto" w:sz="4" w:space="0"/>
            </w:tcBorders>
            <w:shd w:val="clear" w:color="auto" w:fill="auto"/>
            <w:vAlign w:val="center"/>
          </w:tcPr>
          <w:p w14:paraId="5D9F5CF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2117" w:type="dxa"/>
            <w:vMerge w:val="continue"/>
            <w:tcBorders>
              <w:top w:val="single" w:color="000000" w:sz="4" w:space="0"/>
              <w:left w:val="single" w:color="auto" w:sz="4" w:space="0"/>
              <w:bottom w:val="nil"/>
              <w:right w:val="single" w:color="000000" w:sz="4" w:space="0"/>
            </w:tcBorders>
            <w:shd w:val="clear" w:color="auto" w:fill="auto"/>
            <w:vAlign w:val="center"/>
          </w:tcPr>
          <w:p w14:paraId="60768378">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5BD5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w:t>
            </w:r>
            <w:r>
              <w:rPr>
                <w:rFonts w:ascii="方正仿宋简体" w:hAnsi="方正仿宋简体" w:eastAsia="方正仿宋简体" w:cs="方正仿宋简体"/>
                <w:i w:val="0"/>
                <w:iCs w:val="0"/>
                <w:color w:val="000000"/>
                <w:kern w:val="0"/>
                <w:sz w:val="24"/>
                <w:szCs w:val="24"/>
                <w:u w:val="none"/>
                <w:lang w:val="en-US" w:eastAsia="zh-CN" w:bidi="ar"/>
              </w:rPr>
              <w:t>狠抓农村危房改造政策落实。</w:t>
            </w:r>
          </w:p>
        </w:tc>
        <w:tc>
          <w:tcPr>
            <w:tcW w:w="5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B962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sz w:val="24"/>
                <w:szCs w:val="24"/>
                <w:u w:val="none"/>
              </w:rPr>
            </w:pPr>
            <w:r>
              <w:rPr>
                <w:rFonts w:hint="eastAsia" w:ascii="方正仿宋简体" w:hAnsi="方正仿宋简体" w:eastAsia="方正仿宋简体" w:cs="方正仿宋简体"/>
                <w:i w:val="0"/>
                <w:iCs w:val="0"/>
                <w:color w:val="000000"/>
                <w:kern w:val="0"/>
                <w:sz w:val="24"/>
                <w:szCs w:val="24"/>
                <w:u w:val="none"/>
                <w:lang w:val="en-US" w:eastAsia="zh-CN" w:bidi="ar"/>
              </w:rPr>
              <w:t>深入该农户家中进行实地走访核查，通过面对面交谈、查看家庭实际情况，经详细调查了解，该农户家庭存在经济困难问题，无力承担建房所需费用，导致未能解决住房问题。下一步将该农户列入重点关注对象，纳入相关帮扶计划或增强自我发展能力，并定期跟踪了解生产生活状况变化。</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9378A">
            <w:pPr>
              <w:jc w:val="center"/>
              <w:rPr>
                <w:rFonts w:hint="default" w:ascii="Times New Roman" w:hAnsi="Times New Roman" w:eastAsia="宋体" w:cs="Times New Roman"/>
                <w:i w:val="0"/>
                <w:iCs w:val="0"/>
                <w:color w:val="000000"/>
                <w:sz w:val="24"/>
                <w:szCs w:val="24"/>
                <w:u w:val="none"/>
              </w:rPr>
            </w:pPr>
          </w:p>
        </w:tc>
      </w:tr>
      <w:tr w14:paraId="1D1EA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705" w:type="dxa"/>
            <w:tcBorders>
              <w:top w:val="single" w:color="000000" w:sz="4" w:space="0"/>
              <w:left w:val="single" w:color="000000" w:sz="4" w:space="0"/>
              <w:bottom w:val="single" w:color="000000" w:sz="4" w:space="0"/>
              <w:right w:val="single" w:color="auto" w:sz="4" w:space="0"/>
            </w:tcBorders>
            <w:shd w:val="clear" w:color="auto" w:fill="auto"/>
            <w:vAlign w:val="center"/>
          </w:tcPr>
          <w:p w14:paraId="783B6ED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w:t>
            </w:r>
          </w:p>
        </w:tc>
        <w:tc>
          <w:tcPr>
            <w:tcW w:w="2117" w:type="dxa"/>
            <w:vMerge w:val="continue"/>
            <w:tcBorders>
              <w:top w:val="single" w:color="000000" w:sz="4" w:space="0"/>
              <w:left w:val="single" w:color="auto" w:sz="4" w:space="0"/>
              <w:bottom w:val="nil"/>
              <w:right w:val="single" w:color="000000" w:sz="4" w:space="0"/>
            </w:tcBorders>
            <w:shd w:val="clear" w:color="auto" w:fill="auto"/>
            <w:vAlign w:val="center"/>
          </w:tcPr>
          <w:p w14:paraId="53678AB2">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370" w:type="dxa"/>
            <w:tcBorders>
              <w:top w:val="single" w:color="000000" w:sz="4" w:space="0"/>
              <w:left w:val="single" w:color="000000" w:sz="4" w:space="0"/>
              <w:bottom w:val="nil"/>
              <w:right w:val="single" w:color="000000" w:sz="4" w:space="0"/>
            </w:tcBorders>
            <w:shd w:val="clear" w:color="auto" w:fill="auto"/>
            <w:vAlign w:val="center"/>
          </w:tcPr>
          <w:p w14:paraId="3DC6820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r>
              <w:rPr>
                <w:rFonts w:ascii="方正仿宋简体" w:hAnsi="方正仿宋简体" w:eastAsia="方正仿宋简体" w:cs="方正仿宋简体"/>
                <w:i w:val="0"/>
                <w:iCs w:val="0"/>
                <w:color w:val="000000"/>
                <w:kern w:val="0"/>
                <w:sz w:val="24"/>
                <w:szCs w:val="24"/>
                <w:u w:val="none"/>
                <w:lang w:val="en-US" w:eastAsia="zh-CN" w:bidi="ar"/>
              </w:rPr>
              <w:t>持续深化扫黑除恶常态化工作。</w:t>
            </w:r>
          </w:p>
        </w:tc>
        <w:tc>
          <w:tcPr>
            <w:tcW w:w="5817" w:type="dxa"/>
            <w:tcBorders>
              <w:top w:val="single" w:color="000000" w:sz="4" w:space="0"/>
              <w:left w:val="single" w:color="000000" w:sz="4" w:space="0"/>
              <w:bottom w:val="nil"/>
              <w:right w:val="single" w:color="000000" w:sz="4" w:space="0"/>
            </w:tcBorders>
            <w:shd w:val="clear" w:color="auto" w:fill="auto"/>
            <w:vAlign w:val="center"/>
          </w:tcPr>
          <w:p w14:paraId="2DE8539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已严格按规范完成扫黑除恶群众举报箱的悬挂工作，指定专人负责后续的日常管理、维护与信息收集，确保举报渠道持续畅通。</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为确保材料的真实性与准确性，材料撰写人对内容的真实性负直接责任，村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成员进行集体审核、共同把关，确保材料真实反映本村实际，杜绝照抄照搬、脱离实际等问题。</w:t>
            </w:r>
          </w:p>
        </w:tc>
        <w:tc>
          <w:tcPr>
            <w:tcW w:w="613" w:type="dxa"/>
            <w:tcBorders>
              <w:top w:val="single" w:color="000000" w:sz="4" w:space="0"/>
              <w:left w:val="single" w:color="000000" w:sz="4" w:space="0"/>
              <w:bottom w:val="nil"/>
              <w:right w:val="single" w:color="000000" w:sz="4" w:space="0"/>
            </w:tcBorders>
            <w:shd w:val="clear" w:color="auto" w:fill="auto"/>
            <w:vAlign w:val="center"/>
          </w:tcPr>
          <w:p w14:paraId="0F9C998E">
            <w:pPr>
              <w:jc w:val="center"/>
              <w:rPr>
                <w:rFonts w:hint="default" w:ascii="Times New Roman" w:hAnsi="Times New Roman" w:eastAsia="宋体" w:cs="Times New Roman"/>
                <w:i w:val="0"/>
                <w:iCs w:val="0"/>
                <w:color w:val="000000"/>
                <w:sz w:val="24"/>
                <w:szCs w:val="24"/>
                <w:u w:val="none"/>
              </w:rPr>
            </w:pPr>
          </w:p>
        </w:tc>
      </w:tr>
      <w:tr w14:paraId="214AA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529A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21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4B308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三、</w:t>
            </w:r>
            <w:r>
              <w:rPr>
                <w:rFonts w:hint="eastAsia" w:ascii="方正楷体简体" w:hAnsi="方正楷体简体" w:eastAsia="方正楷体简体" w:cs="方正楷体简体"/>
                <w:i w:val="0"/>
                <w:iCs w:val="0"/>
                <w:color w:val="000000"/>
                <w:kern w:val="0"/>
                <w:sz w:val="24"/>
                <w:szCs w:val="24"/>
                <w:u w:val="none"/>
                <w:lang w:val="en-US" w:eastAsia="zh-CN" w:bidi="ar"/>
              </w:rPr>
              <w:t>关于贯彻落实全面从严治党战略部署情况方面的整改进展情况</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A7F0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进一步深化对党风廉政建设工作重要性的认识。</w:t>
            </w:r>
          </w:p>
        </w:tc>
        <w:tc>
          <w:tcPr>
            <w:tcW w:w="5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EB61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紧扣乡党委党风廉政建设工作要点，研究制定腊撒村党总支</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年度党风廉政建设工作计划，明确年度工作目标、重点任务及责任分工，并在年终梳理工作成效、检视存在问题，形成年终工作总结。</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党总支书记紧扣工作职责与年度工作任务，撰写并提交个人年度述责述廉报告。</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58147">
            <w:pPr>
              <w:jc w:val="center"/>
              <w:rPr>
                <w:rFonts w:hint="default" w:ascii="Times New Roman" w:hAnsi="Times New Roman" w:eastAsia="宋体" w:cs="Times New Roman"/>
                <w:i w:val="0"/>
                <w:iCs w:val="0"/>
                <w:color w:val="000000"/>
                <w:sz w:val="24"/>
                <w:szCs w:val="24"/>
                <w:u w:val="none"/>
              </w:rPr>
            </w:pPr>
          </w:p>
        </w:tc>
      </w:tr>
      <w:tr w14:paraId="73431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C778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D07E8C">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3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8960D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r>
              <w:rPr>
                <w:rFonts w:ascii="方正仿宋简体" w:hAnsi="方正仿宋简体" w:eastAsia="方正仿宋简体" w:cs="方正仿宋简体"/>
                <w:i w:val="0"/>
                <w:iCs w:val="0"/>
                <w:color w:val="000000"/>
                <w:kern w:val="0"/>
                <w:sz w:val="24"/>
                <w:szCs w:val="24"/>
                <w:u w:val="none"/>
                <w:lang w:val="en-US" w:eastAsia="zh-CN" w:bidi="ar"/>
              </w:rPr>
              <w:t>规范农村集体</w:t>
            </w:r>
            <w:r>
              <w:rPr>
                <w:rFonts w:hint="default" w:ascii="Times New Roman" w:hAnsi="Times New Roman" w:eastAsia="宋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宋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w:t>
            </w:r>
          </w:p>
        </w:tc>
        <w:tc>
          <w:tcPr>
            <w:tcW w:w="5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E50B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核查闲置资产，摸排橡胶产业提质增效项目中各类资产的闲置状况，确保底数清晰、情况明确，为盘活处置提供依据。</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针对盘活难点，同乡级共同研判，明确具体处置路径与措施。目前正在商讨场地出租事宜。</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3A5D5">
            <w:pPr>
              <w:jc w:val="center"/>
              <w:rPr>
                <w:rFonts w:hint="default" w:ascii="Times New Roman" w:hAnsi="Times New Roman" w:eastAsia="宋体" w:cs="Times New Roman"/>
                <w:i w:val="0"/>
                <w:iCs w:val="0"/>
                <w:color w:val="000000"/>
                <w:sz w:val="24"/>
                <w:szCs w:val="24"/>
                <w:u w:val="none"/>
              </w:rPr>
            </w:pPr>
          </w:p>
        </w:tc>
      </w:tr>
      <w:tr w14:paraId="17F80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AAEA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128A54">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C03799">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0550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全面核查并确认应存未存的资金数额。大车树组结余资金、大洼子组结余资金、小新寨组结余资金已存入会计委托代理服务中心。小竿箐组出租集体房屋收入正在联系存入会计委托代理服务中心。</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组织村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干部、村民小组干部开展</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管理培训，强化思想教育与合规意识，提升村组干部对资金及时入账的重视程度，任何村集体收入，须于收款当日、全额缴入会计委托代理服务中心。</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村务监督委员会常态化排查，重点针对村委会及各村民小组在现金的保管、使用及记账等环节，查找漏洞与风险隐患。</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55D1A">
            <w:pPr>
              <w:jc w:val="center"/>
              <w:rPr>
                <w:rFonts w:hint="default" w:ascii="Times New Roman" w:hAnsi="Times New Roman" w:eastAsia="宋体" w:cs="Times New Roman"/>
                <w:i w:val="0"/>
                <w:iCs w:val="0"/>
                <w:color w:val="000000"/>
                <w:sz w:val="24"/>
                <w:szCs w:val="24"/>
                <w:u w:val="none"/>
              </w:rPr>
            </w:pPr>
          </w:p>
        </w:tc>
      </w:tr>
      <w:tr w14:paraId="18200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42EC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6012E">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02D7C9">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817" w:type="dxa"/>
            <w:tcBorders>
              <w:top w:val="nil"/>
              <w:left w:val="single" w:color="000000" w:sz="4" w:space="0"/>
              <w:bottom w:val="single" w:color="000000" w:sz="4" w:space="0"/>
              <w:right w:val="single" w:color="000000" w:sz="4" w:space="0"/>
            </w:tcBorders>
            <w:shd w:val="clear" w:color="auto" w:fill="auto"/>
            <w:vAlign w:val="center"/>
          </w:tcPr>
          <w:p w14:paraId="05E0A5A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全面核实资金金额，准确地核清涉及的资金总额，查明具体流向与用途。梭草山组、腊撒组结余资金已存至会计委托代理服务中心；</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组织村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干部、村民小组干部学习《中共澜沧县委农村工作领导小组办公室关于进一步规范加强农村集体</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管理的通知》，加强</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管理培训，使村组干部深刻认识坐收坐支的违规性质及其严重后果，严禁任何理由的迟缴、截留或坐收坐支行为。</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村务监督委员会主动介入、严格把关，紧盯村组是否将全部收入及时、足额缴入会计委托代理服务中心，对异常情况及时预警和纠正，严禁出现坐收坐支、延时缴存等行为。</w:t>
            </w:r>
          </w:p>
        </w:tc>
        <w:tc>
          <w:tcPr>
            <w:tcW w:w="613" w:type="dxa"/>
            <w:tcBorders>
              <w:top w:val="nil"/>
              <w:left w:val="single" w:color="000000" w:sz="4" w:space="0"/>
              <w:bottom w:val="single" w:color="000000" w:sz="4" w:space="0"/>
              <w:right w:val="single" w:color="000000" w:sz="4" w:space="0"/>
            </w:tcBorders>
            <w:shd w:val="clear" w:color="auto" w:fill="auto"/>
            <w:vAlign w:val="center"/>
          </w:tcPr>
          <w:p w14:paraId="56B67E31">
            <w:pPr>
              <w:jc w:val="center"/>
              <w:rPr>
                <w:rFonts w:hint="default" w:ascii="Times New Roman" w:hAnsi="Times New Roman" w:eastAsia="宋体" w:cs="Times New Roman"/>
                <w:i w:val="0"/>
                <w:iCs w:val="0"/>
                <w:color w:val="000000"/>
                <w:sz w:val="24"/>
                <w:szCs w:val="24"/>
                <w:u w:val="none"/>
              </w:rPr>
            </w:pPr>
          </w:p>
        </w:tc>
      </w:tr>
      <w:tr w14:paraId="24540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CBF6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w:t>
            </w:r>
          </w:p>
        </w:tc>
        <w:tc>
          <w:tcPr>
            <w:tcW w:w="21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46721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四、</w:t>
            </w:r>
            <w:r>
              <w:rPr>
                <w:rFonts w:hint="eastAsia" w:ascii="方正楷体简体" w:hAnsi="方正楷体简体" w:eastAsia="方正楷体简体" w:cs="方正楷体简体"/>
                <w:i w:val="0"/>
                <w:iCs w:val="0"/>
                <w:color w:val="000000"/>
                <w:kern w:val="0"/>
                <w:sz w:val="24"/>
                <w:szCs w:val="24"/>
                <w:u w:val="none"/>
                <w:lang w:val="en-US" w:eastAsia="zh-CN" w:bidi="ar"/>
              </w:rPr>
              <w:t>关于贯彻落实新时代党的组织路线情况方面的整改进展情况</w:t>
            </w:r>
          </w:p>
        </w:tc>
        <w:tc>
          <w:tcPr>
            <w:tcW w:w="13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6F2E9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严肃认真开展党内政治生活。</w:t>
            </w:r>
          </w:p>
        </w:tc>
        <w:tc>
          <w:tcPr>
            <w:tcW w:w="5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D942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围绕整改工作召开巡察整改专题组织生活会，会前深入谈心谈话，认真撰写材料，严肃认真开展批评与自我批评。</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default" w:ascii="Times New Roman" w:hAnsi="Times New Roman" w:eastAsia="方正仿宋简体" w:cs="Times New Roman"/>
                <w:i w:val="0"/>
                <w:iCs w:val="0"/>
                <w:color w:val="000000"/>
                <w:kern w:val="0"/>
                <w:sz w:val="24"/>
                <w:szCs w:val="24"/>
                <w:u w:val="none"/>
                <w:lang w:val="en-US" w:eastAsia="zh-CN" w:bidi="ar"/>
              </w:rPr>
              <w:t>2026</w:t>
            </w:r>
            <w:r>
              <w:rPr>
                <w:rFonts w:ascii="方正仿宋简体" w:hAnsi="方正仿宋简体" w:eastAsia="方正仿宋简体" w:cs="方正仿宋简体"/>
                <w:i w:val="0"/>
                <w:iCs w:val="0"/>
                <w:color w:val="000000"/>
                <w:kern w:val="0"/>
                <w:sz w:val="24"/>
                <w:szCs w:val="24"/>
                <w:u w:val="none"/>
                <w:lang w:val="en-US" w:eastAsia="zh-CN" w:bidi="ar"/>
              </w:rPr>
              <w:t>年各党支部严格对照乡党委的安排与标准程序，扎实开展谈心谈话，深刻查摆剖析撰写对照检查与党性分析材料，并组织逐一审核，确保各环节不缺项、不走过场。</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15564">
            <w:pPr>
              <w:jc w:val="center"/>
              <w:rPr>
                <w:rFonts w:hint="default" w:ascii="Times New Roman" w:hAnsi="Times New Roman" w:eastAsia="宋体" w:cs="Times New Roman"/>
                <w:i w:val="0"/>
                <w:iCs w:val="0"/>
                <w:color w:val="000000"/>
                <w:sz w:val="24"/>
                <w:szCs w:val="24"/>
                <w:u w:val="none"/>
              </w:rPr>
            </w:pPr>
          </w:p>
        </w:tc>
      </w:tr>
      <w:tr w14:paraId="2A1B0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5"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6421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D50BD4">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729E6">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2DE3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组织各党支部深入学习</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三会一课</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、主题党日要求，规范了工作流程，明确了活动频次，提升了各党支部落实制度的自觉性和操作规范性。</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党总支加强对各党支部</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三会一课</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与主题党日的常态化提醒和定期检查，确保制度规范落实。</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CD066">
            <w:pPr>
              <w:jc w:val="center"/>
              <w:rPr>
                <w:rFonts w:hint="default" w:ascii="Times New Roman" w:hAnsi="Times New Roman" w:eastAsia="宋体" w:cs="Times New Roman"/>
                <w:i w:val="0"/>
                <w:iCs w:val="0"/>
                <w:color w:val="000000"/>
                <w:sz w:val="24"/>
                <w:szCs w:val="24"/>
                <w:u w:val="none"/>
              </w:rPr>
            </w:pPr>
          </w:p>
        </w:tc>
      </w:tr>
      <w:tr w14:paraId="3C734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9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DAB1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3DE461">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2C29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r>
              <w:rPr>
                <w:rFonts w:ascii="方正仿宋简体" w:hAnsi="方正仿宋简体" w:eastAsia="方正仿宋简体" w:cs="方正仿宋简体"/>
                <w:i w:val="0"/>
                <w:iCs w:val="0"/>
                <w:color w:val="000000"/>
                <w:kern w:val="0"/>
                <w:sz w:val="24"/>
                <w:szCs w:val="24"/>
                <w:u w:val="none"/>
                <w:lang w:val="en-US" w:eastAsia="zh-CN" w:bidi="ar"/>
              </w:rPr>
              <w:t>强化村</w:t>
            </w:r>
            <w:r>
              <w:rPr>
                <w:rFonts w:hint="default" w:ascii="Times New Roman" w:hAnsi="Times New Roman" w:eastAsia="宋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宋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履职担当的主动性。</w:t>
            </w:r>
          </w:p>
        </w:tc>
        <w:tc>
          <w:tcPr>
            <w:tcW w:w="5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995E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核查逾期借款金额、期限、借款人等信息，建立台账，明确追偿责任与时限。</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通过谈话、发送催收通知等方式提醒还款，已协调县搬迁安置办公室通过代扣逐年补偿金的方式偿还，预计</w:t>
            </w:r>
            <w:r>
              <w:rPr>
                <w:rFonts w:hint="default" w:ascii="Times New Roman" w:hAnsi="Times New Roman" w:eastAsia="方正仿宋简体" w:cs="Times New Roman"/>
                <w:i w:val="0"/>
                <w:iCs w:val="0"/>
                <w:color w:val="000000"/>
                <w:kern w:val="0"/>
                <w:sz w:val="24"/>
                <w:szCs w:val="24"/>
                <w:u w:val="none"/>
                <w:lang w:val="en-US" w:eastAsia="zh-CN" w:bidi="ar"/>
              </w:rPr>
              <w:t>3</w:t>
            </w:r>
            <w:r>
              <w:rPr>
                <w:rFonts w:ascii="方正仿宋简体" w:hAnsi="方正仿宋简体" w:eastAsia="方正仿宋简体" w:cs="方正仿宋简体"/>
                <w:i w:val="0"/>
                <w:iCs w:val="0"/>
                <w:color w:val="000000"/>
                <w:kern w:val="0"/>
                <w:sz w:val="24"/>
                <w:szCs w:val="24"/>
                <w:u w:val="none"/>
                <w:lang w:val="en-US" w:eastAsia="zh-CN" w:bidi="ar"/>
              </w:rPr>
              <w:t>年内可代扣完成。</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严格执行村级资本金出借管理细则，明确审批、担保、跟踪流程，杜绝新增逾期风险。</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C1962">
            <w:pPr>
              <w:jc w:val="center"/>
              <w:rPr>
                <w:rFonts w:hint="default" w:ascii="Times New Roman" w:hAnsi="Times New Roman" w:eastAsia="宋体" w:cs="Times New Roman"/>
                <w:i w:val="0"/>
                <w:iCs w:val="0"/>
                <w:color w:val="000000"/>
                <w:sz w:val="24"/>
                <w:szCs w:val="24"/>
                <w:u w:val="none"/>
              </w:rPr>
            </w:pPr>
          </w:p>
        </w:tc>
      </w:tr>
      <w:tr w14:paraId="6C7A7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75"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6B6A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AFDF3">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9F4A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r>
              <w:rPr>
                <w:rFonts w:ascii="方正仿宋简体" w:hAnsi="方正仿宋简体" w:eastAsia="方正仿宋简体" w:cs="方正仿宋简体"/>
                <w:i w:val="0"/>
                <w:iCs w:val="0"/>
                <w:color w:val="000000"/>
                <w:kern w:val="0"/>
                <w:sz w:val="24"/>
                <w:szCs w:val="24"/>
                <w:u w:val="none"/>
                <w:lang w:val="en-US" w:eastAsia="zh-CN" w:bidi="ar"/>
              </w:rPr>
              <w:t>强化活动室及活动场所规范管理。</w:t>
            </w:r>
          </w:p>
        </w:tc>
        <w:tc>
          <w:tcPr>
            <w:tcW w:w="5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CEF6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全面排查村委会、村民小组活动室及其附属旗杆情况。</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各村民小组国旗已规范悬挂。村委会及各村民小组明确专人，具体负责小组活动室检查、国旗的升降与日常维护保养工作。</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向乡基层党建办公室申请资金，用于小组活动室、旗杆修缮。</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C5515">
            <w:pPr>
              <w:jc w:val="center"/>
              <w:rPr>
                <w:rFonts w:hint="default" w:ascii="Times New Roman" w:hAnsi="Times New Roman" w:eastAsia="宋体" w:cs="Times New Roman"/>
                <w:i w:val="0"/>
                <w:iCs w:val="0"/>
                <w:color w:val="000000"/>
                <w:sz w:val="24"/>
                <w:szCs w:val="24"/>
                <w:u w:val="none"/>
              </w:rPr>
            </w:pPr>
          </w:p>
        </w:tc>
      </w:tr>
    </w:tbl>
    <w:p w14:paraId="3C0E0A04">
      <w:pPr>
        <w:rPr>
          <w:rFonts w:hint="default" w:ascii="Times New Roman" w:hAnsi="Times New Roman" w:eastAsia="方正仿宋简体" w:cs="Times New Roman"/>
          <w:sz w:val="34"/>
          <w:szCs w:val="34"/>
          <w:lang w:val="en-US" w:eastAsia="zh-CN"/>
        </w:rPr>
      </w:pPr>
      <w:r>
        <w:rPr>
          <w:rFonts w:hint="default" w:ascii="Times New Roman" w:hAnsi="Times New Roman" w:eastAsia="方正仿宋简体" w:cs="Times New Roman"/>
          <w:sz w:val="34"/>
          <w:szCs w:val="34"/>
          <w:lang w:val="en-US" w:eastAsia="zh-CN"/>
        </w:rPr>
        <w:br w:type="page"/>
      </w:r>
    </w:p>
    <w:p w14:paraId="1CB396AA">
      <w:bookmarkStart w:id="0" w:name="_GoBack"/>
      <w:bookmarkEnd w:id="0"/>
    </w:p>
    <w:sectPr>
      <w:footerReference r:id="rId3" w:type="default"/>
      <w:pgSz w:w="16838" w:h="11906" w:orient="landscape"/>
      <w:pgMar w:top="567" w:right="567" w:bottom="567" w:left="56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简体">
    <w:altName w:val="微软雅黑"/>
    <w:panose1 w:val="03000509000000000000"/>
    <w:charset w:val="86"/>
    <w:family w:val="auto"/>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12" w:usb3="00000000" w:csb0="00040001" w:csb1="00000000"/>
  </w:font>
  <w:font w:name="方正楷体简体">
    <w:altName w:val="宋体"/>
    <w:panose1 w:val="03000509000000000000"/>
    <w:charset w:val="86"/>
    <w:family w:val="auto"/>
    <w:pitch w:val="default"/>
    <w:sig w:usb0="00000000" w:usb1="00000000" w:usb2="00000000" w:usb3="00000000" w:csb0="00040000" w:csb1="00000000"/>
  </w:font>
  <w:font w:name="方正仿宋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4631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1A91D6">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B1A91D6">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A01CA1"/>
    <w:rsid w:val="3FA01C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2026-09-03T07:14:00Z</dcterms:created>
  <dc:creator>在水一方</dc:creator>
  <cp:lastModifiedBy>在水一方</cp:lastModifiedBy>
  <dcterms:modified xsi:type="dcterms:W3CDTF">2026-09-03T07:14:16Z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1D7969CEE69243819C891B502A56992E_11</vt:lpwstr>
  </property>
  <property fmtid="{D5CDD505-2E9C-101B-9397-08002B2CF9AE}" pid="4" name="KSOTemplateDocerSaveRecord">
    <vt:lpwstr>eyJoZGlkIjoiZjVkZGY1M2E5OTE3ZDk1MzRmZjIzNDNkMTIxMTcxYmIiLCJ1c2VySWQiOiI0NjM0MDM3NDMifQ==</vt:lpwstr>
  </property>
</Properties>
</file>