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4EC531">
      <w:pPr>
        <w:pStyle w:val="9"/>
        <w:ind w:left="0" w:leftChars="0" w:firstLine="0" w:firstLineChars="0"/>
        <w:rPr>
          <w:rFonts w:hint="eastAsia" w:ascii="Times New Roman" w:hAnsi="Times New Roman" w:eastAsia="方正仿宋简体" w:cs="Times New Roman"/>
          <w:lang w:eastAsia="zh-CN"/>
        </w:rPr>
      </w:pPr>
    </w:p>
    <w:p w14:paraId="0AFA8901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1020" w:firstLineChars="300"/>
        <w:jc w:val="both"/>
        <w:textAlignment w:val="auto"/>
        <w:rPr>
          <w:rFonts w:hint="eastAsia" w:ascii="Times New Roman" w:hAnsi="Times New Roman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</w:pPr>
      <w:bookmarkStart w:id="0" w:name="_GoBack"/>
      <w:r>
        <w:rPr>
          <w:rFonts w:hint="eastAsia" w:ascii="Times New Roman" w:hAnsi="Times New Roman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  <w:t>附件1</w:t>
      </w:r>
    </w:p>
    <w:bookmarkEnd w:id="0"/>
    <w:p w14:paraId="7AE69D5B">
      <w:pPr>
        <w:keepLines w:val="0"/>
        <w:pageBreakBefore w:val="0"/>
        <w:widowControl w:val="0"/>
        <w:kinsoku/>
        <w:wordWrap/>
        <w:topLinePunct w:val="0"/>
        <w:bidi w:val="0"/>
        <w:spacing w:line="240" w:lineRule="auto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十三届县委第八轮巡察邦佑村反馈问题社会公开台账</w:t>
      </w:r>
    </w:p>
    <w:p w14:paraId="6DB6414E">
      <w:pPr>
        <w:keepLines w:val="0"/>
        <w:pageBreakBefore w:val="0"/>
        <w:widowControl w:val="0"/>
        <w:kinsoku/>
        <w:wordWrap/>
        <w:topLinePunct w:val="0"/>
        <w:bidi w:val="0"/>
        <w:spacing w:line="240" w:lineRule="auto"/>
        <w:jc w:val="left"/>
        <w:textAlignment w:val="auto"/>
        <w:rPr>
          <w:rFonts w:hint="eastAsia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</w:pPr>
      <w:r>
        <w:rPr>
          <w:rFonts w:hint="eastAsia" w:ascii="Times New Roman" w:hAnsi="Times New Roman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 xml:space="preserve">      </w:t>
      </w:r>
      <w:r>
        <w:rPr>
          <w:rFonts w:hint="eastAsia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 xml:space="preserve">  </w:t>
      </w:r>
    </w:p>
    <w:p w14:paraId="043996A9">
      <w:pPr>
        <w:keepLines w:val="0"/>
        <w:pageBreakBefore w:val="0"/>
        <w:widowControl w:val="0"/>
        <w:kinsoku/>
        <w:wordWrap/>
        <w:topLinePunct w:val="0"/>
        <w:bidi w:val="0"/>
        <w:spacing w:line="240" w:lineRule="auto"/>
        <w:ind w:firstLine="990" w:firstLineChars="300"/>
        <w:jc w:val="left"/>
        <w:textAlignment w:val="auto"/>
        <w:rPr>
          <w:rFonts w:hint="default" w:ascii="Times New Roman" w:hAnsi="Times New Roman" w:eastAsia="方正楷体简体" w:cs="方正楷体简体"/>
          <w:b w:val="0"/>
          <w:bCs w:val="0"/>
          <w:snapToGrid w:val="0"/>
          <w:spacing w:val="45"/>
          <w:kern w:val="0"/>
          <w:sz w:val="24"/>
          <w:szCs w:val="24"/>
          <w:highlight w:val="none"/>
          <w:u w:val="none" w:color="auto"/>
          <w:lang w:val="en-US" w:eastAsia="zh-CN"/>
        </w:rPr>
      </w:pPr>
      <w:r>
        <w:rPr>
          <w:rFonts w:hint="eastAsia" w:ascii="Times New Roman" w:hAnsi="Times New Roman" w:eastAsia="方正楷体简体" w:cs="方正楷体简体"/>
          <w:b w:val="0"/>
          <w:bCs w:val="0"/>
          <w:spacing w:val="45"/>
          <w:sz w:val="24"/>
          <w:szCs w:val="24"/>
          <w:highlight w:val="none"/>
          <w:u w:val="none" w:color="auto"/>
          <w:lang w:val="en-US" w:eastAsia="zh-CN"/>
        </w:rPr>
        <w:t xml:space="preserve">填报单位（加盖公章）：中共文东佤族乡委员会  </w:t>
      </w:r>
      <w:r>
        <w:rPr>
          <w:rFonts w:hint="eastAsia" w:eastAsia="方正楷体简体" w:cs="方正楷体简体"/>
          <w:b w:val="0"/>
          <w:bCs w:val="0"/>
          <w:spacing w:val="45"/>
          <w:sz w:val="24"/>
          <w:szCs w:val="24"/>
          <w:highlight w:val="none"/>
          <w:u w:val="none" w:color="auto"/>
          <w:lang w:val="en-US" w:eastAsia="zh-CN"/>
        </w:rPr>
        <w:t xml:space="preserve"> </w:t>
      </w:r>
      <w:r>
        <w:rPr>
          <w:rFonts w:hint="eastAsia" w:ascii="Times New Roman" w:hAnsi="Times New Roman" w:eastAsia="方正楷体简体" w:cs="方正楷体简体"/>
          <w:b w:val="0"/>
          <w:bCs w:val="0"/>
          <w:spacing w:val="45"/>
          <w:sz w:val="24"/>
          <w:szCs w:val="24"/>
          <w:highlight w:val="none"/>
          <w:u w:val="none" w:color="auto"/>
          <w:lang w:val="en-US" w:eastAsia="zh-CN"/>
        </w:rPr>
        <w:t xml:space="preserve">  </w:t>
      </w:r>
      <w:r>
        <w:rPr>
          <w:rFonts w:hint="eastAsia" w:eastAsia="方正楷体简体" w:cs="方正楷体简体"/>
          <w:b w:val="0"/>
          <w:bCs w:val="0"/>
          <w:spacing w:val="45"/>
          <w:sz w:val="24"/>
          <w:szCs w:val="24"/>
          <w:highlight w:val="none"/>
          <w:u w:val="none" w:color="auto"/>
          <w:lang w:val="en-US" w:eastAsia="zh-CN"/>
        </w:rPr>
        <w:t xml:space="preserve"> </w:t>
      </w:r>
      <w:r>
        <w:rPr>
          <w:rFonts w:hint="eastAsia" w:ascii="Times New Roman" w:hAnsi="Times New Roman" w:eastAsia="方正楷体简体" w:cs="方正楷体简体"/>
          <w:b w:val="0"/>
          <w:bCs w:val="0"/>
          <w:spacing w:val="45"/>
          <w:sz w:val="24"/>
          <w:szCs w:val="24"/>
          <w:highlight w:val="none"/>
          <w:u w:val="none" w:color="auto"/>
          <w:lang w:val="en-US" w:eastAsia="zh-CN"/>
        </w:rPr>
        <w:t>填报日期：2026年</w:t>
      </w:r>
      <w:r>
        <w:rPr>
          <w:rFonts w:hint="eastAsia" w:eastAsia="方正楷体简体" w:cs="方正楷体简体"/>
          <w:b w:val="0"/>
          <w:bCs w:val="0"/>
          <w:spacing w:val="45"/>
          <w:sz w:val="24"/>
          <w:szCs w:val="24"/>
          <w:highlight w:val="none"/>
          <w:u w:val="none" w:color="auto"/>
          <w:lang w:val="en-US" w:eastAsia="zh-CN"/>
        </w:rPr>
        <w:t>8</w:t>
      </w:r>
      <w:r>
        <w:rPr>
          <w:rFonts w:hint="eastAsia" w:ascii="Times New Roman" w:hAnsi="Times New Roman" w:eastAsia="方正楷体简体" w:cs="方正楷体简体"/>
          <w:b w:val="0"/>
          <w:bCs w:val="0"/>
          <w:spacing w:val="45"/>
          <w:sz w:val="24"/>
          <w:szCs w:val="24"/>
          <w:highlight w:val="none"/>
          <w:u w:val="none" w:color="auto"/>
          <w:lang w:val="en-US" w:eastAsia="zh-CN"/>
        </w:rPr>
        <w:t>月</w:t>
      </w:r>
      <w:r>
        <w:rPr>
          <w:rFonts w:hint="eastAsia" w:eastAsia="方正楷体简体" w:cs="方正楷体简体"/>
          <w:b w:val="0"/>
          <w:bCs w:val="0"/>
          <w:spacing w:val="45"/>
          <w:sz w:val="24"/>
          <w:szCs w:val="24"/>
          <w:highlight w:val="none"/>
          <w:u w:val="none" w:color="auto"/>
          <w:lang w:val="en-US" w:eastAsia="zh-CN"/>
        </w:rPr>
        <w:t>28</w:t>
      </w:r>
      <w:r>
        <w:rPr>
          <w:rFonts w:hint="eastAsia" w:ascii="Times New Roman" w:hAnsi="Times New Roman" w:eastAsia="方正楷体简体" w:cs="方正楷体简体"/>
          <w:b w:val="0"/>
          <w:bCs w:val="0"/>
          <w:spacing w:val="45"/>
          <w:sz w:val="24"/>
          <w:szCs w:val="24"/>
          <w:highlight w:val="none"/>
          <w:u w:val="none" w:color="auto"/>
          <w:lang w:val="en-US" w:eastAsia="zh-CN"/>
        </w:rPr>
        <w:t>日</w:t>
      </w:r>
    </w:p>
    <w:tbl>
      <w:tblPr>
        <w:tblStyle w:val="7"/>
        <w:tblW w:w="124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2925"/>
        <w:gridCol w:w="2145"/>
        <w:gridCol w:w="3914"/>
        <w:gridCol w:w="2054"/>
      </w:tblGrid>
      <w:tr w14:paraId="792B3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tblHeader/>
          <w:jc w:val="center"/>
        </w:trPr>
        <w:tc>
          <w:tcPr>
            <w:tcW w:w="1441" w:type="dxa"/>
            <w:noWrap w:val="0"/>
            <w:vAlign w:val="center"/>
          </w:tcPr>
          <w:p w14:paraId="71030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 w:val="0"/>
                <w:color w:val="auto"/>
                <w:spacing w:val="6"/>
                <w:sz w:val="24"/>
                <w:szCs w:val="24"/>
                <w:highlight w:val="none"/>
                <w:u w:val="none" w:color="auto"/>
                <w:vertAlign w:val="baseline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 w:val="0"/>
                <w:color w:val="auto"/>
                <w:spacing w:val="6"/>
                <w:sz w:val="24"/>
                <w:szCs w:val="24"/>
                <w:highlight w:val="none"/>
                <w:u w:val="none" w:color="auto"/>
                <w:vertAlign w:val="baseline"/>
              </w:rPr>
              <w:t>序号</w:t>
            </w:r>
          </w:p>
        </w:tc>
        <w:tc>
          <w:tcPr>
            <w:tcW w:w="2925" w:type="dxa"/>
            <w:noWrap w:val="0"/>
            <w:vAlign w:val="center"/>
          </w:tcPr>
          <w:p w14:paraId="5F146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 w:val="0"/>
                <w:color w:val="auto"/>
                <w:spacing w:val="6"/>
                <w:sz w:val="24"/>
                <w:szCs w:val="24"/>
                <w:highlight w:val="none"/>
                <w:u w:val="none" w:color="auto"/>
                <w:vertAlign w:val="baseline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 w:val="0"/>
                <w:color w:val="auto"/>
                <w:spacing w:val="6"/>
                <w:sz w:val="24"/>
                <w:szCs w:val="24"/>
                <w:highlight w:val="none"/>
                <w:u w:val="none" w:color="auto"/>
                <w:vertAlign w:val="baseline"/>
              </w:rPr>
              <w:t>问题分类（二级标题）</w:t>
            </w:r>
          </w:p>
        </w:tc>
        <w:tc>
          <w:tcPr>
            <w:tcW w:w="2145" w:type="dxa"/>
            <w:noWrap w:val="0"/>
            <w:vAlign w:val="center"/>
          </w:tcPr>
          <w:p w14:paraId="79236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 w:val="0"/>
                <w:color w:val="auto"/>
                <w:spacing w:val="6"/>
                <w:sz w:val="24"/>
                <w:szCs w:val="24"/>
                <w:highlight w:val="none"/>
                <w:u w:val="none" w:color="auto"/>
                <w:vertAlign w:val="baseline"/>
                <w:lang w:eastAsia="zh-CN"/>
              </w:rPr>
            </w:pPr>
            <w:r>
              <w:rPr>
                <w:rFonts w:hint="eastAsia" w:eastAsia="方正黑体简体" w:cs="方正黑体简体"/>
                <w:b w:val="0"/>
                <w:bCs w:val="0"/>
                <w:color w:val="auto"/>
                <w:spacing w:val="6"/>
                <w:sz w:val="24"/>
                <w:szCs w:val="24"/>
                <w:highlight w:val="none"/>
                <w:u w:val="none" w:color="auto"/>
                <w:vertAlign w:val="baseline"/>
                <w:lang w:eastAsia="zh-CN"/>
              </w:rPr>
              <w:t>主要措施</w:t>
            </w:r>
          </w:p>
        </w:tc>
        <w:tc>
          <w:tcPr>
            <w:tcW w:w="3914" w:type="dxa"/>
            <w:noWrap w:val="0"/>
            <w:vAlign w:val="center"/>
          </w:tcPr>
          <w:p w14:paraId="57CD6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 w:val="0"/>
                <w:color w:val="auto"/>
                <w:spacing w:val="6"/>
                <w:sz w:val="24"/>
                <w:szCs w:val="24"/>
                <w:highlight w:val="none"/>
                <w:u w:val="none" w:color="auto"/>
                <w:vertAlign w:val="baseline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 w:val="0"/>
                <w:color w:val="auto"/>
                <w:spacing w:val="6"/>
                <w:sz w:val="24"/>
                <w:szCs w:val="24"/>
                <w:highlight w:val="none"/>
                <w:u w:val="none" w:color="auto"/>
                <w:vertAlign w:val="baseline"/>
              </w:rPr>
              <w:t>整改工作及成效</w:t>
            </w:r>
          </w:p>
        </w:tc>
        <w:tc>
          <w:tcPr>
            <w:tcW w:w="2054" w:type="dxa"/>
            <w:noWrap w:val="0"/>
            <w:vAlign w:val="center"/>
          </w:tcPr>
          <w:p w14:paraId="53639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 w:val="0"/>
                <w:color w:val="auto"/>
                <w:spacing w:val="6"/>
                <w:kern w:val="2"/>
                <w:sz w:val="24"/>
                <w:szCs w:val="24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 w:val="0"/>
                <w:color w:val="auto"/>
                <w:spacing w:val="6"/>
                <w:sz w:val="24"/>
                <w:szCs w:val="24"/>
                <w:highlight w:val="none"/>
                <w:u w:val="none" w:color="auto"/>
                <w:vertAlign w:val="baseline"/>
              </w:rPr>
              <w:t>备注</w:t>
            </w:r>
          </w:p>
        </w:tc>
      </w:tr>
      <w:tr w14:paraId="17475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8" w:hRule="atLeast"/>
          <w:jc w:val="center"/>
        </w:trPr>
        <w:tc>
          <w:tcPr>
            <w:tcW w:w="1441" w:type="dxa"/>
            <w:noWrap w:val="0"/>
            <w:vAlign w:val="center"/>
          </w:tcPr>
          <w:p w14:paraId="4DC8F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  <w:t>1</w:t>
            </w:r>
          </w:p>
        </w:tc>
        <w:tc>
          <w:tcPr>
            <w:tcW w:w="2925" w:type="dxa"/>
            <w:noWrap w:val="0"/>
            <w:vAlign w:val="center"/>
          </w:tcPr>
          <w:p w14:paraId="449CF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简体" w:cs="方正仿宋简体"/>
                <w:b/>
                <w:bCs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eastAsia="zh-CN"/>
              </w:rPr>
              <w:t>一、</w:t>
            </w:r>
            <w:r>
              <w:rPr>
                <w:rFonts w:hint="eastAsia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1"/>
                <w:szCs w:val="21"/>
                <w:highlight w:val="none"/>
                <w:u w:val="none" w:color="auto"/>
                <w:lang w:val="en-US" w:eastAsia="zh-CN" w:bidi="ar-SA"/>
              </w:rPr>
              <w:t>关于</w:t>
            </w: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1"/>
                <w:szCs w:val="21"/>
                <w:highlight w:val="none"/>
                <w:u w:val="none" w:color="auto"/>
                <w:lang w:val="en-US" w:eastAsia="zh-CN" w:bidi="ar-SA"/>
              </w:rPr>
              <w:t>上轮巡视、审计等反馈问题整改</w:t>
            </w:r>
            <w:r>
              <w:rPr>
                <w:rFonts w:hint="eastAsia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1"/>
                <w:szCs w:val="21"/>
                <w:highlight w:val="none"/>
                <w:u w:val="none" w:color="auto"/>
                <w:lang w:val="en-US" w:eastAsia="zh-CN" w:bidi="ar-SA"/>
              </w:rPr>
              <w:t>方面的整改进展</w:t>
            </w: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1"/>
                <w:szCs w:val="21"/>
                <w:highlight w:val="none"/>
                <w:u w:val="none" w:color="auto"/>
                <w:lang w:val="en-US" w:eastAsia="zh-CN" w:bidi="ar-SA"/>
              </w:rPr>
              <w:t>情况</w:t>
            </w:r>
          </w:p>
        </w:tc>
        <w:tc>
          <w:tcPr>
            <w:tcW w:w="2145" w:type="dxa"/>
            <w:noWrap w:val="0"/>
            <w:vAlign w:val="center"/>
          </w:tcPr>
          <w:p w14:paraId="7723A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  <w:t>1.严格落实</w:t>
            </w: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1"/>
                <w:szCs w:val="21"/>
                <w:highlight w:val="none"/>
                <w:u w:val="none" w:color="auto"/>
                <w:lang w:val="en-US" w:eastAsia="zh-CN" w:bidi="ar-SA"/>
              </w:rPr>
              <w:t>巡察、审计等整改</w:t>
            </w:r>
            <w:r>
              <w:rPr>
                <w:rFonts w:hint="eastAsia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1"/>
                <w:szCs w:val="21"/>
                <w:highlight w:val="none"/>
                <w:u w:val="none" w:color="auto"/>
                <w:lang w:val="en-US" w:eastAsia="zh-CN" w:bidi="ar-SA"/>
              </w:rPr>
              <w:t>责任</w:t>
            </w: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1"/>
                <w:szCs w:val="21"/>
                <w:highlight w:val="none"/>
                <w:u w:val="none" w:color="auto"/>
                <w:lang w:val="en-US" w:eastAsia="zh-CN" w:bidi="ar-SA"/>
              </w:rPr>
              <w:t>。</w:t>
            </w:r>
          </w:p>
        </w:tc>
        <w:tc>
          <w:tcPr>
            <w:tcW w:w="3914" w:type="dxa"/>
            <w:noWrap w:val="0"/>
            <w:vAlign w:val="center"/>
          </w:tcPr>
          <w:p w14:paraId="52F88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eastAsia="zh-CN"/>
              </w:rPr>
              <w:t>一是组织了村“两委”成员、驻村工作队员对照《云南省重点清理流毒书籍清单》对农家书屋进行全覆盖排查，对涉及“余毒”的相关书籍已下架，并做好详细登记，逐一登记造册；二是对清查出来的“余毒”书籍，统一封存保管，杜绝再次流通；三是建立健全农家书屋长效监管机制。明确</w:t>
            </w:r>
            <w:r>
              <w:rPr>
                <w:rFonts w:hint="eastAsia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eastAsia="zh-CN"/>
              </w:rPr>
              <w:t>了</w:t>
            </w: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eastAsia="zh-CN"/>
              </w:rPr>
              <w:t>农家书屋的管理责任人，定期对书屋进行自查自纠，加强对农家书屋的日常监督检查，每季度至少进行一次全面检查。</w:t>
            </w:r>
          </w:p>
        </w:tc>
        <w:tc>
          <w:tcPr>
            <w:tcW w:w="2054" w:type="dxa"/>
            <w:noWrap w:val="0"/>
            <w:vAlign w:val="center"/>
          </w:tcPr>
          <w:p w14:paraId="5D6EC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</w:tr>
      <w:tr w14:paraId="3A760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restart"/>
            <w:noWrap w:val="0"/>
            <w:vAlign w:val="center"/>
          </w:tcPr>
          <w:p w14:paraId="3828E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  <w:p w14:paraId="78B54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  <w:p w14:paraId="6E687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  <w:p w14:paraId="7DA4F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  <w:p w14:paraId="657D5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  <w:p w14:paraId="61C91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  <w:p w14:paraId="184B6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  <w:p w14:paraId="67CA3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  <w:p w14:paraId="70BB7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  <w:p w14:paraId="3A6E2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  <w:p w14:paraId="42A89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  <w:p w14:paraId="7907C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  <w:p w14:paraId="05ADE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  <w:p w14:paraId="456BA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  <w:p w14:paraId="2C75C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  <w:p w14:paraId="1FFD0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  <w:p w14:paraId="6B3E6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  <w:p w14:paraId="68463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  <w:p w14:paraId="3AD85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666" w:firstLineChars="300"/>
              <w:jc w:val="both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  <w:t>2</w:t>
            </w:r>
          </w:p>
          <w:p w14:paraId="4C826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</w:tc>
        <w:tc>
          <w:tcPr>
            <w:tcW w:w="2925" w:type="dxa"/>
            <w:vMerge w:val="restart"/>
            <w:noWrap w:val="0"/>
            <w:vAlign w:val="center"/>
          </w:tcPr>
          <w:p w14:paraId="1141C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1"/>
                <w:szCs w:val="21"/>
                <w:highlight w:val="none"/>
                <w:u w:val="none" w:color="auto"/>
                <w:lang w:val="en-US" w:eastAsia="zh-CN" w:bidi="ar-SA"/>
              </w:rPr>
            </w:pPr>
          </w:p>
          <w:p w14:paraId="65968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1"/>
                <w:szCs w:val="21"/>
                <w:highlight w:val="none"/>
                <w:u w:val="none" w:color="auto"/>
                <w:lang w:val="en-US" w:eastAsia="zh-CN" w:bidi="ar-SA"/>
              </w:rPr>
            </w:pPr>
          </w:p>
          <w:p w14:paraId="6F991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简体" w:cs="方正仿宋简体"/>
                <w:b/>
                <w:bCs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1"/>
                <w:szCs w:val="21"/>
                <w:highlight w:val="none"/>
                <w:u w:val="none" w:color="auto"/>
                <w:lang w:val="en-US" w:eastAsia="zh-CN" w:bidi="ar-SA"/>
              </w:rPr>
              <w:t>二、</w:t>
            </w: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1"/>
                <w:szCs w:val="21"/>
                <w:highlight w:val="none"/>
                <w:u w:val="none" w:color="auto"/>
                <w:lang w:val="en-US" w:eastAsia="zh-CN" w:bidi="ar-SA"/>
              </w:rPr>
              <w:t>贯彻落实习近平总书记重要讲话和重要指示批示精神、党中央重大决策部署反馈问题整改</w:t>
            </w:r>
            <w:r>
              <w:rPr>
                <w:rFonts w:hint="eastAsia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1"/>
                <w:szCs w:val="21"/>
                <w:highlight w:val="none"/>
                <w:u w:val="none" w:color="auto"/>
                <w:lang w:val="en-US" w:eastAsia="zh-CN" w:bidi="ar-SA"/>
              </w:rPr>
              <w:t>方面的整改进展</w:t>
            </w: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1"/>
                <w:szCs w:val="21"/>
                <w:highlight w:val="none"/>
                <w:u w:val="none" w:color="auto"/>
                <w:lang w:val="en-US" w:eastAsia="zh-CN" w:bidi="ar-SA"/>
              </w:rPr>
              <w:t>情况</w:t>
            </w:r>
          </w:p>
          <w:p w14:paraId="76EB9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1"/>
                <w:szCs w:val="21"/>
                <w:highlight w:val="none"/>
                <w:u w:val="none" w:color="auto"/>
                <w:lang w:val="en-US" w:eastAsia="zh-CN" w:bidi="ar-SA"/>
              </w:rPr>
            </w:pPr>
          </w:p>
          <w:p w14:paraId="5091B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1"/>
                <w:szCs w:val="21"/>
                <w:highlight w:val="none"/>
                <w:u w:val="none" w:color="auto"/>
                <w:lang w:val="en-US" w:eastAsia="zh-CN" w:bidi="ar-SA"/>
              </w:rPr>
            </w:pPr>
          </w:p>
          <w:p w14:paraId="56011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1"/>
                <w:szCs w:val="21"/>
                <w:highlight w:val="none"/>
                <w:u w:val="none" w:color="auto"/>
                <w:lang w:val="en-US" w:eastAsia="zh-CN" w:bidi="ar-SA"/>
              </w:rPr>
            </w:pPr>
          </w:p>
          <w:p w14:paraId="757C4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1"/>
                <w:szCs w:val="21"/>
                <w:highlight w:val="none"/>
                <w:u w:val="none" w:color="auto"/>
                <w:lang w:val="en-US" w:eastAsia="zh-CN" w:bidi="ar-SA"/>
              </w:rPr>
            </w:pPr>
          </w:p>
          <w:p w14:paraId="21FE7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1"/>
                <w:szCs w:val="21"/>
                <w:highlight w:val="none"/>
                <w:u w:val="none" w:color="auto"/>
                <w:lang w:val="en-US" w:eastAsia="zh-CN" w:bidi="ar-SA"/>
              </w:rPr>
            </w:pPr>
          </w:p>
          <w:p w14:paraId="0E49A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1"/>
                <w:szCs w:val="21"/>
                <w:highlight w:val="none"/>
                <w:u w:val="none" w:color="auto"/>
                <w:lang w:val="en-US" w:eastAsia="zh-CN" w:bidi="ar-SA"/>
              </w:rPr>
            </w:pPr>
          </w:p>
          <w:p w14:paraId="1D090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1"/>
                <w:szCs w:val="21"/>
                <w:highlight w:val="none"/>
                <w:u w:val="none" w:color="auto"/>
                <w:lang w:val="en-US" w:eastAsia="zh-CN" w:bidi="ar-SA"/>
              </w:rPr>
            </w:pPr>
          </w:p>
          <w:p w14:paraId="05EFD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1"/>
                <w:szCs w:val="21"/>
                <w:highlight w:val="none"/>
                <w:u w:val="none" w:color="auto"/>
                <w:lang w:val="en-US" w:eastAsia="zh-CN" w:bidi="ar-SA"/>
              </w:rPr>
            </w:pPr>
          </w:p>
          <w:p w14:paraId="081DB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1"/>
                <w:szCs w:val="21"/>
                <w:highlight w:val="none"/>
                <w:u w:val="none" w:color="auto"/>
                <w:lang w:val="en-US" w:eastAsia="zh-CN" w:bidi="ar-SA"/>
              </w:rPr>
            </w:pPr>
          </w:p>
          <w:p w14:paraId="2BCDE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1"/>
                <w:szCs w:val="21"/>
                <w:highlight w:val="none"/>
                <w:u w:val="none" w:color="auto"/>
                <w:lang w:val="en-US" w:eastAsia="zh-CN" w:bidi="ar-SA"/>
              </w:rPr>
            </w:pPr>
          </w:p>
          <w:p w14:paraId="0C1BA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简体" w:cs="方正仿宋简体"/>
                <w:b/>
                <w:bCs/>
                <w:color w:val="auto"/>
                <w:spacing w:val="6"/>
                <w:kern w:val="2"/>
                <w:sz w:val="24"/>
                <w:szCs w:val="24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4"/>
                <w:szCs w:val="24"/>
                <w:highlight w:val="none"/>
                <w:u w:val="none" w:color="auto"/>
                <w:lang w:val="en-US" w:eastAsia="zh-CN" w:bidi="ar-SA"/>
              </w:rPr>
              <w:t>二、</w:t>
            </w: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4"/>
                <w:szCs w:val="24"/>
                <w:highlight w:val="none"/>
                <w:u w:val="none" w:color="auto"/>
                <w:lang w:val="en-US" w:eastAsia="zh-CN" w:bidi="ar-SA"/>
              </w:rPr>
              <w:t>贯彻落实习近平总书记重要讲话和重要指示批示精神、党中央重大决策部署反馈问题整改</w:t>
            </w:r>
            <w:r>
              <w:rPr>
                <w:rFonts w:hint="eastAsia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4"/>
                <w:szCs w:val="24"/>
                <w:highlight w:val="none"/>
                <w:u w:val="none" w:color="auto"/>
                <w:lang w:val="en-US" w:eastAsia="zh-CN" w:bidi="ar-SA"/>
              </w:rPr>
              <w:t>方面的整改进展</w:t>
            </w: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4"/>
                <w:szCs w:val="24"/>
                <w:highlight w:val="none"/>
                <w:u w:val="none" w:color="auto"/>
                <w:lang w:val="en-US" w:eastAsia="zh-CN" w:bidi="ar-SA"/>
              </w:rPr>
              <w:t>情况</w:t>
            </w:r>
          </w:p>
          <w:p w14:paraId="7CBF3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简体" w:cs="方正仿宋简体"/>
                <w:b/>
                <w:bCs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</w:tc>
        <w:tc>
          <w:tcPr>
            <w:tcW w:w="2145" w:type="dxa"/>
            <w:noWrap w:val="0"/>
            <w:vAlign w:val="center"/>
          </w:tcPr>
          <w:p w14:paraId="5E336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  <w:p w14:paraId="71619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  <w:t>1.进一步履行职责使命，强化思想认识。</w:t>
            </w:r>
          </w:p>
          <w:p w14:paraId="30A60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  <w:p w14:paraId="4C34D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  <w:p w14:paraId="5248CDBF">
            <w:pPr>
              <w:pStyle w:val="2"/>
              <w:numPr>
                <w:ilvl w:val="0"/>
                <w:numId w:val="0"/>
              </w:numPr>
              <w:rPr>
                <w:rFonts w:hint="eastAsia"/>
                <w:lang w:val="en-US" w:eastAsia="zh-CN"/>
              </w:rPr>
            </w:pPr>
          </w:p>
          <w:p w14:paraId="7BC18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  <w:p w14:paraId="214D2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  <w:t>1.进一步履行职责使命，强化思想认识。</w:t>
            </w:r>
          </w:p>
        </w:tc>
        <w:tc>
          <w:tcPr>
            <w:tcW w:w="3914" w:type="dxa"/>
            <w:noWrap w:val="0"/>
            <w:vAlign w:val="center"/>
          </w:tcPr>
          <w:p w14:paraId="63458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  <w:t>一是</w:t>
            </w: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eastAsia="zh-CN"/>
              </w:rPr>
              <w:t>针对</w:t>
            </w:r>
            <w:r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  <w:t>应征入伍</w:t>
            </w: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eastAsia="zh-CN"/>
              </w:rPr>
              <w:t>、死亡保</w:t>
            </w:r>
            <w:r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  <w:t>多发</w:t>
            </w: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eastAsia="zh-CN"/>
              </w:rPr>
              <w:t>资金问题</w:t>
            </w:r>
            <w:r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  <w:t>，</w:t>
            </w: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eastAsia="zh-CN"/>
              </w:rPr>
              <w:t>已组织人员进行核实并</w:t>
            </w:r>
            <w:r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  <w:t>已收回，并对整个村两项补贴全面排查，举一反三全面整改；二是积极与县级行业部门对接，针对惠民资金发放出现的漏洞进行回头看，对惠民资金项目进行</w:t>
            </w: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eastAsia="zh-CN"/>
              </w:rPr>
              <w:t>了</w:t>
            </w:r>
            <w:r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  <w:t>自检自查，组织召开部署和分析当前工作中存在的问题，并及时进行整改，确保国家惠民资金精准发放；三是加强与文东卫生院、</w:t>
            </w:r>
            <w:r>
              <w:rPr>
                <w:rFonts w:hint="eastAsia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eastAsia="zh-CN"/>
              </w:rPr>
              <w:t>文东</w:t>
            </w:r>
            <w:r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  <w:t>派出所等相关部门的联动机制，对人员死亡数据进行共享，及时核查人员信息，切实提升低保、养老金等动态管理，依规办理各项手续，精准守护保障底线</w:t>
            </w: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eastAsia="zh-CN"/>
              </w:rPr>
              <w:t>。</w:t>
            </w:r>
          </w:p>
        </w:tc>
        <w:tc>
          <w:tcPr>
            <w:tcW w:w="2054" w:type="dxa"/>
            <w:noWrap w:val="0"/>
            <w:vAlign w:val="center"/>
          </w:tcPr>
          <w:p w14:paraId="7A4FC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</w:tr>
      <w:tr w14:paraId="71E88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 w14:paraId="3F648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</w:tc>
        <w:tc>
          <w:tcPr>
            <w:tcW w:w="2925" w:type="dxa"/>
            <w:vMerge w:val="continue"/>
            <w:noWrap w:val="0"/>
            <w:vAlign w:val="center"/>
          </w:tcPr>
          <w:p w14:paraId="599ED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  <w:tc>
          <w:tcPr>
            <w:tcW w:w="2145" w:type="dxa"/>
            <w:noWrap w:val="0"/>
            <w:vAlign w:val="center"/>
          </w:tcPr>
          <w:p w14:paraId="279AE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  <w:t>2.落实好防止返贫动态监测工作。</w:t>
            </w:r>
          </w:p>
        </w:tc>
        <w:tc>
          <w:tcPr>
            <w:tcW w:w="3914" w:type="dxa"/>
            <w:noWrap w:val="0"/>
            <w:vAlign w:val="center"/>
          </w:tcPr>
          <w:p w14:paraId="11386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eastAsia="zh-CN"/>
              </w:rPr>
              <w:t>一是主动对接乡经济发展办公室、党政综合办公室，邀请业务骨干到村开展台账规范化建设专题培训，统一评议记录要素；二是安排专人对上述6个时间节点的台账进行“拉网式”补缺，逐一补齐缺失的评议记录表和户主签字确认材料；三是召开防返贫动态监测专题研判会，对全村评议程序进行复盘规范。目前，所有缺失台账已全部补充归档，并建立了“月度自查+季度复核”的长效机制，确保了动态监测程序合规、记录完整、有据可查。</w:t>
            </w:r>
          </w:p>
        </w:tc>
        <w:tc>
          <w:tcPr>
            <w:tcW w:w="2054" w:type="dxa"/>
            <w:noWrap w:val="0"/>
            <w:vAlign w:val="center"/>
          </w:tcPr>
          <w:p w14:paraId="1CB45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</w:tr>
      <w:tr w14:paraId="5571E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 w14:paraId="2BD8F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</w:tc>
        <w:tc>
          <w:tcPr>
            <w:tcW w:w="2925" w:type="dxa"/>
            <w:vMerge w:val="continue"/>
            <w:noWrap w:val="0"/>
            <w:vAlign w:val="center"/>
          </w:tcPr>
          <w:p w14:paraId="3C03C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  <w:tc>
          <w:tcPr>
            <w:tcW w:w="2145" w:type="dxa"/>
            <w:noWrap w:val="0"/>
            <w:vAlign w:val="center"/>
          </w:tcPr>
          <w:p w14:paraId="647FC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  <w:p w14:paraId="2B00B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  <w:p w14:paraId="278407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  <w:t>抓实人居环境治理主动性。</w:t>
            </w:r>
          </w:p>
          <w:p w14:paraId="5D22A2DD">
            <w:pPr>
              <w:pStyle w:val="2"/>
              <w:keepNext/>
              <w:keepLines/>
              <w:widowControl w:val="0"/>
              <w:numPr>
                <w:ilvl w:val="0"/>
                <w:numId w:val="0"/>
              </w:numPr>
              <w:spacing w:line="560" w:lineRule="exact"/>
              <w:jc w:val="both"/>
              <w:outlineLvl w:val="1"/>
              <w:rPr>
                <w:rFonts w:hint="default"/>
                <w:lang w:val="en-US" w:eastAsia="zh-CN"/>
              </w:rPr>
            </w:pPr>
          </w:p>
          <w:p w14:paraId="571AD928"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3914" w:type="dxa"/>
            <w:noWrap w:val="0"/>
            <w:vAlign w:val="center"/>
          </w:tcPr>
          <w:p w14:paraId="0A4BE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  <w:t>组织召开邦佑村村组群众会议，全面开展“三个一”行动及爱国卫生运动，并完善相关村规民约，不断规范村民垃圾堆放，统一堆放在垃圾池，清理污水沟渠。并且举一反三对18个村民小组进行全面排查整治。</w:t>
            </w:r>
          </w:p>
        </w:tc>
        <w:tc>
          <w:tcPr>
            <w:tcW w:w="2054" w:type="dxa"/>
            <w:noWrap w:val="0"/>
            <w:vAlign w:val="center"/>
          </w:tcPr>
          <w:p w14:paraId="4A370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</w:tr>
      <w:tr w14:paraId="742E9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 w14:paraId="4EB59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</w:tc>
        <w:tc>
          <w:tcPr>
            <w:tcW w:w="2925" w:type="dxa"/>
            <w:vMerge w:val="continue"/>
            <w:noWrap w:val="0"/>
            <w:vAlign w:val="center"/>
          </w:tcPr>
          <w:p w14:paraId="0EEE1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  <w:tc>
          <w:tcPr>
            <w:tcW w:w="2145" w:type="dxa"/>
            <w:noWrap w:val="0"/>
            <w:vAlign w:val="center"/>
          </w:tcPr>
          <w:p w14:paraId="4A4B6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  <w:t>4.提高对意识形态的极端重要性认识。</w:t>
            </w:r>
          </w:p>
        </w:tc>
        <w:tc>
          <w:tcPr>
            <w:tcW w:w="3914" w:type="dxa"/>
            <w:noWrap w:val="0"/>
            <w:vAlign w:val="center"/>
          </w:tcPr>
          <w:p w14:paraId="57C47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  <w:t>一是安排专人管理应急广播，积极对接乡党群服务中心，主动汇报村应急广播终端机房建设的实际情况及存在的困难，争取专业指导和支持。二是结合邦佑村实际情况，选择合适的场地改造为应急广播独立机房。三是对村级应急广播终端机房进行全面清理整治，明确专人负责定期对机房设备、环境进行巡查，规范物品摆放，进行清扫和保洁。</w:t>
            </w:r>
          </w:p>
        </w:tc>
        <w:tc>
          <w:tcPr>
            <w:tcW w:w="2054" w:type="dxa"/>
            <w:noWrap w:val="0"/>
            <w:vAlign w:val="center"/>
          </w:tcPr>
          <w:p w14:paraId="28FE5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</w:tr>
      <w:tr w14:paraId="6BBF2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 w14:paraId="1BD74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</w:tc>
        <w:tc>
          <w:tcPr>
            <w:tcW w:w="2925" w:type="dxa"/>
            <w:vMerge w:val="continue"/>
            <w:noWrap w:val="0"/>
            <w:vAlign w:val="center"/>
          </w:tcPr>
          <w:p w14:paraId="789C7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  <w:tc>
          <w:tcPr>
            <w:tcW w:w="2145" w:type="dxa"/>
            <w:noWrap w:val="0"/>
            <w:vAlign w:val="center"/>
          </w:tcPr>
          <w:p w14:paraId="76C29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  <w:t>5.提高政治站位、抓好意识形态工作。</w:t>
            </w:r>
          </w:p>
        </w:tc>
        <w:tc>
          <w:tcPr>
            <w:tcW w:w="3914" w:type="dxa"/>
            <w:noWrap w:val="0"/>
            <w:vAlign w:val="center"/>
          </w:tcPr>
          <w:p w14:paraId="63AF2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  <w:t>一是对整个村18个村民小组全面排查彻底清理，严格按照</w:t>
            </w: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eastAsia="zh-CN"/>
              </w:rPr>
              <w:t>相关文件要求</w:t>
            </w:r>
            <w:r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  <w:t>，由乡挂组人员联合村“两委”班子成员、驻村队员，迅速对挂钩的小组开展清理行动。清理过程中要做到全覆盖、无死角，确保所有脱贫攻坚相关宣传标语清理干净。二是建立长效监督机制，定期巡查村组内墙面，组织检查，防止已清理的标语再次出现或新增过时宣传内容。</w:t>
            </w:r>
          </w:p>
        </w:tc>
        <w:tc>
          <w:tcPr>
            <w:tcW w:w="2054" w:type="dxa"/>
            <w:noWrap w:val="0"/>
            <w:vAlign w:val="center"/>
          </w:tcPr>
          <w:p w14:paraId="30BB0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</w:tr>
      <w:tr w14:paraId="1CD44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  <w:jc w:val="center"/>
        </w:trPr>
        <w:tc>
          <w:tcPr>
            <w:tcW w:w="1441" w:type="dxa"/>
            <w:vMerge w:val="restart"/>
            <w:noWrap w:val="0"/>
            <w:vAlign w:val="center"/>
          </w:tcPr>
          <w:p w14:paraId="053F5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  <w:t>3</w:t>
            </w:r>
          </w:p>
          <w:p w14:paraId="09514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</w:tc>
        <w:tc>
          <w:tcPr>
            <w:tcW w:w="2925" w:type="dxa"/>
            <w:vMerge w:val="restart"/>
            <w:noWrap w:val="0"/>
            <w:vAlign w:val="center"/>
          </w:tcPr>
          <w:p w14:paraId="1F68D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1"/>
                <w:szCs w:val="21"/>
                <w:highlight w:val="none"/>
                <w:u w:val="none" w:color="auto"/>
                <w:lang w:val="en-US" w:eastAsia="zh-CN" w:bidi="ar-SA"/>
              </w:rPr>
              <w:t>三、贯彻落实全面从严治党战略部署情况</w:t>
            </w: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1"/>
                <w:szCs w:val="21"/>
                <w:highlight w:val="none"/>
                <w:u w:val="none" w:color="auto"/>
                <w:lang w:val="en-US" w:eastAsia="zh-CN" w:bidi="ar-SA"/>
              </w:rPr>
              <w:t>反馈问题整改</w:t>
            </w:r>
            <w:r>
              <w:rPr>
                <w:rFonts w:hint="eastAsia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1"/>
                <w:szCs w:val="21"/>
                <w:highlight w:val="none"/>
                <w:u w:val="none" w:color="auto"/>
                <w:lang w:val="en-US" w:eastAsia="zh-CN" w:bidi="ar-SA"/>
              </w:rPr>
              <w:t>方面的整改进展</w:t>
            </w: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1"/>
                <w:szCs w:val="21"/>
                <w:highlight w:val="none"/>
                <w:u w:val="none" w:color="auto"/>
                <w:lang w:val="en-US" w:eastAsia="zh-CN" w:bidi="ar-SA"/>
              </w:rPr>
              <w:t>情况</w:t>
            </w:r>
          </w:p>
          <w:p w14:paraId="4192F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  <w:tc>
          <w:tcPr>
            <w:tcW w:w="2145" w:type="dxa"/>
            <w:noWrap w:val="0"/>
            <w:vAlign w:val="center"/>
          </w:tcPr>
          <w:p w14:paraId="064035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eastAsia="zh-CN"/>
              </w:rPr>
            </w:pPr>
          </w:p>
          <w:p w14:paraId="3C9FA1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eastAsia="zh-CN"/>
              </w:rPr>
            </w:pPr>
          </w:p>
          <w:p w14:paraId="070A57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eastAsia="zh-CN"/>
              </w:rPr>
            </w:pPr>
          </w:p>
          <w:p w14:paraId="4E82BA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  <w:r>
              <w:rPr>
                <w:rFonts w:hint="eastAsia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eastAsia="zh-CN"/>
              </w:rPr>
              <w:t>压实</w:t>
            </w:r>
            <w:r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  <w:t>党风廉政建设工作</w:t>
            </w: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eastAsia="zh-CN"/>
              </w:rPr>
              <w:t>责任</w:t>
            </w:r>
            <w:r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  <w:t>。</w:t>
            </w:r>
          </w:p>
          <w:p w14:paraId="260B103D">
            <w:pPr>
              <w:pStyle w:val="2"/>
              <w:keepNext/>
              <w:keepLines/>
              <w:widowControl w:val="0"/>
              <w:numPr>
                <w:ilvl w:val="0"/>
                <w:numId w:val="0"/>
              </w:numPr>
              <w:spacing w:line="560" w:lineRule="exact"/>
              <w:jc w:val="both"/>
              <w:outlineLvl w:val="1"/>
              <w:rPr>
                <w:rFonts w:hint="default"/>
                <w:lang w:val="en-US" w:eastAsia="zh-CN"/>
              </w:rPr>
            </w:pPr>
          </w:p>
          <w:p w14:paraId="4AE39BEC">
            <w:pPr>
              <w:rPr>
                <w:rFonts w:hint="default"/>
                <w:lang w:val="en-US" w:eastAsia="zh-CN"/>
              </w:rPr>
            </w:pPr>
          </w:p>
          <w:p w14:paraId="6A48EB1E"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3914" w:type="dxa"/>
            <w:noWrap w:val="0"/>
            <w:vAlign w:val="center"/>
          </w:tcPr>
          <w:p w14:paraId="581C3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eastAsia="zh-CN"/>
              </w:rPr>
              <w:t>强化思想认识，积极与乡纪委对接，就廉政提醒谈话进行规范化指导，</w:t>
            </w:r>
            <w:r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  <w:t>思想上瞄定精准靶向，破除敷衍思想，建立“一人一档”谈话档案。</w:t>
            </w:r>
          </w:p>
        </w:tc>
        <w:tc>
          <w:tcPr>
            <w:tcW w:w="2054" w:type="dxa"/>
            <w:noWrap w:val="0"/>
            <w:vAlign w:val="center"/>
          </w:tcPr>
          <w:p w14:paraId="5A796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</w:tr>
      <w:tr w14:paraId="5CC46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 w14:paraId="672C5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</w:tc>
        <w:tc>
          <w:tcPr>
            <w:tcW w:w="2925" w:type="dxa"/>
            <w:vMerge w:val="continue"/>
            <w:noWrap w:val="0"/>
            <w:vAlign w:val="center"/>
          </w:tcPr>
          <w:p w14:paraId="2C094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  <w:tc>
          <w:tcPr>
            <w:tcW w:w="2145" w:type="dxa"/>
            <w:noWrap w:val="0"/>
            <w:vAlign w:val="center"/>
          </w:tcPr>
          <w:p w14:paraId="77D4D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  <w:t>2.进一步提高党风廉政建设工作思想认识。</w:t>
            </w:r>
          </w:p>
        </w:tc>
        <w:tc>
          <w:tcPr>
            <w:tcW w:w="3914" w:type="dxa"/>
            <w:noWrap w:val="0"/>
            <w:vAlign w:val="center"/>
          </w:tcPr>
          <w:p w14:paraId="289D8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  <w:t>深化对党风廉政建设工作分析研判，严格材料审核把关，明确村党组织书记为材料审核第一责任人，对村廉政工作总结、计划、公示材料等严格审核把关，杜绝照搬照抄出现错误表述。</w:t>
            </w: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eastAsia="zh-CN"/>
              </w:rPr>
              <w:t>党风廉政建设工作计划中研究文化娱乐、安全教育、计划生育等与党风廉政建设工作不符内容进行整改，多处错误表述的问题已进行整改。</w:t>
            </w:r>
          </w:p>
        </w:tc>
        <w:tc>
          <w:tcPr>
            <w:tcW w:w="2054" w:type="dxa"/>
            <w:noWrap w:val="0"/>
            <w:vAlign w:val="center"/>
          </w:tcPr>
          <w:p w14:paraId="6AB91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</w:tr>
      <w:tr w14:paraId="2576B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 w14:paraId="46DE1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</w:tc>
        <w:tc>
          <w:tcPr>
            <w:tcW w:w="2925" w:type="dxa"/>
            <w:vMerge w:val="continue"/>
            <w:noWrap w:val="0"/>
            <w:vAlign w:val="center"/>
          </w:tcPr>
          <w:p w14:paraId="13018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  <w:tc>
          <w:tcPr>
            <w:tcW w:w="2145" w:type="dxa"/>
            <w:noWrap w:val="0"/>
            <w:vAlign w:val="center"/>
          </w:tcPr>
          <w:p w14:paraId="55CE9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  <w:t>3.抓实扶持项目监管，协调推进利益联结分红收益。</w:t>
            </w:r>
          </w:p>
        </w:tc>
        <w:tc>
          <w:tcPr>
            <w:tcW w:w="3914" w:type="dxa"/>
            <w:noWrap w:val="0"/>
            <w:vAlign w:val="center"/>
          </w:tcPr>
          <w:p w14:paraId="1A905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  <w:t>积极与入股企业对接，对分红未到账情况进行全面分析原因，并与乡有关部门对接，完善相关台账资料，确保按时收回集体应得分红收益。</w:t>
            </w: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eastAsia="zh-CN"/>
              </w:rPr>
              <w:t>目前集体应得分红资金已完成收回。</w:t>
            </w:r>
          </w:p>
        </w:tc>
        <w:tc>
          <w:tcPr>
            <w:tcW w:w="2054" w:type="dxa"/>
            <w:noWrap w:val="0"/>
            <w:vAlign w:val="center"/>
          </w:tcPr>
          <w:p w14:paraId="74B70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</w:tr>
      <w:tr w14:paraId="05679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 w14:paraId="46DA2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</w:tc>
        <w:tc>
          <w:tcPr>
            <w:tcW w:w="2925" w:type="dxa"/>
            <w:vMerge w:val="continue"/>
            <w:noWrap w:val="0"/>
            <w:vAlign w:val="center"/>
          </w:tcPr>
          <w:p w14:paraId="01BD3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  <w:tc>
          <w:tcPr>
            <w:tcW w:w="2145" w:type="dxa"/>
            <w:noWrap w:val="0"/>
            <w:vAlign w:val="center"/>
          </w:tcPr>
          <w:p w14:paraId="7DC8C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  <w:t>4.压实水费收缴工作落实，不断规范程序。</w:t>
            </w:r>
          </w:p>
        </w:tc>
        <w:tc>
          <w:tcPr>
            <w:tcW w:w="3914" w:type="dxa"/>
            <w:noWrap w:val="0"/>
            <w:vAlign w:val="center"/>
          </w:tcPr>
          <w:p w14:paraId="3126B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  <w:t>严格要求各村民小组通过“一事一议”制定水费收缴方案，并按方案，按时收缴、公示、及时上缴</w:t>
            </w: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eastAsia="zh-CN"/>
              </w:rPr>
              <w:t>到文东乡</w:t>
            </w:r>
            <w:r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  <w:t>村级会计委托代理服务中心</w:t>
            </w: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eastAsia="zh-CN"/>
              </w:rPr>
              <w:t>，目前邦佑村已完成村组签订相关协议，并完成收取水费上缴。</w:t>
            </w:r>
          </w:p>
        </w:tc>
        <w:tc>
          <w:tcPr>
            <w:tcW w:w="2054" w:type="dxa"/>
            <w:noWrap w:val="0"/>
            <w:vAlign w:val="center"/>
          </w:tcPr>
          <w:p w14:paraId="1CABF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</w:tr>
      <w:tr w14:paraId="760B8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 w14:paraId="1CF2B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</w:tc>
        <w:tc>
          <w:tcPr>
            <w:tcW w:w="2925" w:type="dxa"/>
            <w:vMerge w:val="continue"/>
            <w:noWrap w:val="0"/>
            <w:vAlign w:val="center"/>
          </w:tcPr>
          <w:p w14:paraId="69D2C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  <w:tc>
          <w:tcPr>
            <w:tcW w:w="2145" w:type="dxa"/>
            <w:noWrap w:val="0"/>
            <w:vAlign w:val="center"/>
          </w:tcPr>
          <w:p w14:paraId="583DE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  <w:t>5.严格资金管理审批。</w:t>
            </w:r>
          </w:p>
        </w:tc>
        <w:tc>
          <w:tcPr>
            <w:tcW w:w="3914" w:type="dxa"/>
            <w:noWrap w:val="0"/>
            <w:vAlign w:val="center"/>
          </w:tcPr>
          <w:p w14:paraId="1B204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  <w:t>一是召开专题会议，认真分析其原因，并对业务人员监督完成整改</w:t>
            </w: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eastAsia="zh-CN"/>
              </w:rPr>
              <w:t>；二是邀请乡农业农村发展服务中心工作人员进行了专题培训，不断提高业务水平；三是安排专人与采购商进行对接，已完善相关凭证及台账。</w:t>
            </w:r>
          </w:p>
        </w:tc>
        <w:tc>
          <w:tcPr>
            <w:tcW w:w="2054" w:type="dxa"/>
            <w:noWrap w:val="0"/>
            <w:vAlign w:val="center"/>
          </w:tcPr>
          <w:p w14:paraId="3702A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</w:tr>
      <w:tr w14:paraId="5233F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 w14:paraId="41F1D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</w:tc>
        <w:tc>
          <w:tcPr>
            <w:tcW w:w="2925" w:type="dxa"/>
            <w:vMerge w:val="continue"/>
            <w:noWrap w:val="0"/>
            <w:vAlign w:val="center"/>
          </w:tcPr>
          <w:p w14:paraId="58899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  <w:tc>
          <w:tcPr>
            <w:tcW w:w="2145" w:type="dxa"/>
            <w:noWrap w:val="0"/>
            <w:vAlign w:val="center"/>
          </w:tcPr>
          <w:p w14:paraId="01F1A9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  <w:p w14:paraId="6C9CC6BF">
            <w:pPr>
              <w:pStyle w:val="2"/>
              <w:numPr>
                <w:ilvl w:val="0"/>
                <w:numId w:val="0"/>
              </w:numPr>
              <w:ind w:leftChars="200"/>
              <w:rPr>
                <w:rFonts w:hint="eastAsia"/>
                <w:lang w:val="en-US" w:eastAsia="zh-CN"/>
              </w:rPr>
            </w:pPr>
          </w:p>
          <w:p w14:paraId="4FDDB1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  <w:p w14:paraId="6787E9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  <w:p w14:paraId="70041D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  <w:t>6.</w:t>
            </w: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  <w:t>提高村集体“三资”管理风险意识。</w:t>
            </w:r>
          </w:p>
          <w:p w14:paraId="7E3449F6">
            <w:pPr>
              <w:pStyle w:val="2"/>
              <w:keepNext/>
              <w:keepLines/>
              <w:widowControl w:val="0"/>
              <w:numPr>
                <w:ilvl w:val="0"/>
                <w:numId w:val="0"/>
              </w:numPr>
              <w:spacing w:line="560" w:lineRule="exact"/>
              <w:jc w:val="both"/>
              <w:outlineLvl w:val="1"/>
              <w:rPr>
                <w:rFonts w:hint="default"/>
                <w:lang w:val="en-US" w:eastAsia="zh-CN"/>
              </w:rPr>
            </w:pPr>
          </w:p>
          <w:p w14:paraId="44554ED7">
            <w:pPr>
              <w:rPr>
                <w:rFonts w:hint="default"/>
                <w:lang w:val="en-US" w:eastAsia="zh-CN"/>
              </w:rPr>
            </w:pPr>
          </w:p>
          <w:p w14:paraId="3AB12B9A">
            <w:pPr>
              <w:pStyle w:val="2"/>
              <w:numPr>
                <w:ilvl w:val="0"/>
                <w:numId w:val="0"/>
              </w:numPr>
              <w:ind w:leftChars="200"/>
              <w:rPr>
                <w:rFonts w:hint="default"/>
                <w:lang w:val="en-US" w:eastAsia="zh-CN"/>
              </w:rPr>
            </w:pPr>
          </w:p>
          <w:p w14:paraId="07E69A07">
            <w:pPr>
              <w:pStyle w:val="2"/>
              <w:numPr>
                <w:ilvl w:val="0"/>
                <w:numId w:val="0"/>
              </w:numPr>
              <w:rPr>
                <w:rFonts w:hint="default"/>
                <w:lang w:val="en-US" w:eastAsia="zh-CN"/>
              </w:rPr>
            </w:pPr>
          </w:p>
        </w:tc>
        <w:tc>
          <w:tcPr>
            <w:tcW w:w="3914" w:type="dxa"/>
            <w:noWrap w:val="0"/>
            <w:vAlign w:val="center"/>
          </w:tcPr>
          <w:p w14:paraId="514E1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  <w:t>邦佑村“两委”班子成员主动对接承租企业，逐项梳理并分析其未按合同履约的具体原因，通过协商沟通推动解决租金回收事宜。若协商调解后，该经营主体仍未按合同约定期限缴纳租金，将严格依据合同违约责任条款，依法向人民法院提起诉讼，通过法律途径追缴欠款，确保村集体利益不受损失。</w:t>
            </w:r>
          </w:p>
        </w:tc>
        <w:tc>
          <w:tcPr>
            <w:tcW w:w="2054" w:type="dxa"/>
            <w:noWrap w:val="0"/>
            <w:vAlign w:val="center"/>
          </w:tcPr>
          <w:p w14:paraId="0F7AE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</w:tr>
      <w:tr w14:paraId="2102B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restart"/>
            <w:noWrap w:val="0"/>
            <w:vAlign w:val="center"/>
          </w:tcPr>
          <w:p w14:paraId="2697B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  <w:p w14:paraId="215FB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  <w:t>4</w:t>
            </w:r>
          </w:p>
          <w:p w14:paraId="26B65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</w:tc>
        <w:tc>
          <w:tcPr>
            <w:tcW w:w="2925" w:type="dxa"/>
            <w:vMerge w:val="restart"/>
            <w:noWrap w:val="0"/>
            <w:vAlign w:val="center"/>
          </w:tcPr>
          <w:p w14:paraId="23876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1"/>
                <w:szCs w:val="21"/>
                <w:highlight w:val="none"/>
                <w:u w:val="none" w:color="auto"/>
                <w:lang w:val="en-US" w:eastAsia="zh-CN" w:bidi="ar-SA"/>
              </w:rPr>
              <w:t>四、贯彻落实新时代党的组织路线情况</w:t>
            </w: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1"/>
                <w:szCs w:val="21"/>
                <w:highlight w:val="none"/>
                <w:u w:val="none" w:color="auto"/>
                <w:lang w:val="en-US" w:eastAsia="zh-CN" w:bidi="ar-SA"/>
              </w:rPr>
              <w:t>反馈问题整改</w:t>
            </w:r>
            <w:r>
              <w:rPr>
                <w:rFonts w:hint="eastAsia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1"/>
                <w:szCs w:val="21"/>
                <w:highlight w:val="none"/>
                <w:u w:val="none" w:color="auto"/>
                <w:lang w:val="en-US" w:eastAsia="zh-CN" w:bidi="ar-SA"/>
              </w:rPr>
              <w:t>方面的整改进展</w:t>
            </w: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spacing w:val="0"/>
                <w:kern w:val="2"/>
                <w:sz w:val="21"/>
                <w:szCs w:val="21"/>
                <w:highlight w:val="none"/>
                <w:u w:val="none" w:color="auto"/>
                <w:lang w:val="en-US" w:eastAsia="zh-CN" w:bidi="ar-SA"/>
              </w:rPr>
              <w:t>情况</w:t>
            </w:r>
          </w:p>
          <w:p w14:paraId="1EB93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  <w:tc>
          <w:tcPr>
            <w:tcW w:w="2145" w:type="dxa"/>
            <w:noWrap w:val="0"/>
            <w:vAlign w:val="center"/>
          </w:tcPr>
          <w:p w14:paraId="6DE27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  <w:t>1.抓实党建主体责任落实。</w:t>
            </w:r>
          </w:p>
        </w:tc>
        <w:tc>
          <w:tcPr>
            <w:tcW w:w="3914" w:type="dxa"/>
            <w:noWrap w:val="0"/>
            <w:vAlign w:val="center"/>
          </w:tcPr>
          <w:p w14:paraId="05C5C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  <w:t>一是严肃组织生活程序，对</w:t>
            </w: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eastAsia="zh-CN"/>
              </w:rPr>
              <w:t>个人</w:t>
            </w:r>
            <w:r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  <w:t>党性分析材料再要求相关人员进行撰写完善，提升个人党性分析材料质量，举一反三，杜绝个人党性材料照搬照抄</w:t>
            </w: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eastAsia="zh-CN"/>
              </w:rPr>
              <w:t>；二是邀请乡基层党建办公室工作人员进行业务指导，并就组织生活会相关程序再进行学习，不断提高其质量。</w:t>
            </w:r>
          </w:p>
        </w:tc>
        <w:tc>
          <w:tcPr>
            <w:tcW w:w="2054" w:type="dxa"/>
            <w:noWrap w:val="0"/>
            <w:vAlign w:val="center"/>
          </w:tcPr>
          <w:p w14:paraId="0D799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</w:tr>
      <w:tr w14:paraId="04944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 w14:paraId="6FD9B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</w:tc>
        <w:tc>
          <w:tcPr>
            <w:tcW w:w="2925" w:type="dxa"/>
            <w:vMerge w:val="continue"/>
            <w:noWrap w:val="0"/>
            <w:vAlign w:val="center"/>
          </w:tcPr>
          <w:p w14:paraId="46670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  <w:tc>
          <w:tcPr>
            <w:tcW w:w="2145" w:type="dxa"/>
            <w:noWrap w:val="0"/>
            <w:vAlign w:val="center"/>
          </w:tcPr>
          <w:p w14:paraId="101F5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  <w:t>2.提高政治站位，压实党建主体责任。</w:t>
            </w:r>
          </w:p>
        </w:tc>
        <w:tc>
          <w:tcPr>
            <w:tcW w:w="3914" w:type="dxa"/>
            <w:noWrap w:val="0"/>
            <w:vAlign w:val="center"/>
          </w:tcPr>
          <w:p w14:paraId="26581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  <w:t>邦佑村将进一步研究村组干部人事问题，对不履职相关人员按支部选举程序选举进行调整，同时，积极邀请乡有关部门对邦佑村支部规范化建设进行指导，并不断整改以口头形式汇报代替书面汇报情况。</w:t>
            </w:r>
          </w:p>
        </w:tc>
        <w:tc>
          <w:tcPr>
            <w:tcW w:w="2054" w:type="dxa"/>
            <w:noWrap w:val="0"/>
            <w:vAlign w:val="center"/>
          </w:tcPr>
          <w:p w14:paraId="50E41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</w:tr>
      <w:tr w14:paraId="4E373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 w14:paraId="4219A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</w:tc>
        <w:tc>
          <w:tcPr>
            <w:tcW w:w="2925" w:type="dxa"/>
            <w:vMerge w:val="continue"/>
            <w:noWrap w:val="0"/>
            <w:vAlign w:val="center"/>
          </w:tcPr>
          <w:p w14:paraId="7CEF6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  <w:tc>
          <w:tcPr>
            <w:tcW w:w="2145" w:type="dxa"/>
            <w:noWrap w:val="0"/>
            <w:vAlign w:val="center"/>
          </w:tcPr>
          <w:p w14:paraId="769C1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  <w:t>3.强化理论学习，提高党建思想认识。</w:t>
            </w:r>
          </w:p>
        </w:tc>
        <w:tc>
          <w:tcPr>
            <w:tcW w:w="3914" w:type="dxa"/>
            <w:noWrap w:val="0"/>
            <w:vAlign w:val="center"/>
          </w:tcPr>
          <w:p w14:paraId="72BDD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  <w:t>一是加强理论学习，提高思想认识。积极对接基层党建办公室整理学习内容，每月发布到各支部，督促支部书记带领支部党员学习，以理论学习进一步夯实基层党建基础</w:t>
            </w: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eastAsia="zh-CN"/>
              </w:rPr>
              <w:t>；二是规范党内生活，认真落实“三会一课”、组织生活会等制度，月末提醒未开展“三会一课”的党支部及时开展；三是加强业务培训，组织支部书记、支委委员、村党总支书记、村党总支副书记集中培训学习，加强党务工作者的业务能力，进一步提升党建工作能力；四是加强与上级部门的沟通，对不清楚事宜及时请示上报。</w:t>
            </w:r>
          </w:p>
        </w:tc>
        <w:tc>
          <w:tcPr>
            <w:tcW w:w="2054" w:type="dxa"/>
            <w:noWrap w:val="0"/>
            <w:vAlign w:val="center"/>
          </w:tcPr>
          <w:p w14:paraId="430BE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</w:tr>
      <w:tr w14:paraId="341FB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 w14:paraId="15453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</w:pPr>
          </w:p>
        </w:tc>
        <w:tc>
          <w:tcPr>
            <w:tcW w:w="2925" w:type="dxa"/>
            <w:vMerge w:val="continue"/>
            <w:noWrap w:val="0"/>
            <w:vAlign w:val="center"/>
          </w:tcPr>
          <w:p w14:paraId="39E5E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  <w:tc>
          <w:tcPr>
            <w:tcW w:w="2145" w:type="dxa"/>
            <w:noWrap w:val="0"/>
            <w:vAlign w:val="center"/>
          </w:tcPr>
          <w:p w14:paraId="5A36C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val="en-US" w:eastAsia="zh-CN"/>
              </w:rPr>
              <w:t>4.层层压实责任，落实党建主体到位。</w:t>
            </w:r>
          </w:p>
        </w:tc>
        <w:tc>
          <w:tcPr>
            <w:tcW w:w="3914" w:type="dxa"/>
            <w:noWrap w:val="0"/>
            <w:vAlign w:val="center"/>
          </w:tcPr>
          <w:p w14:paraId="52761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kern w:val="2"/>
                <w:sz w:val="21"/>
                <w:szCs w:val="21"/>
                <w:highlight w:val="none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  <w:t>邦佑村将不断严肃党内生活制度，组织村班子成员认真研究，不断丰富活动形式内容，强化党员责任意识，提高参与政治生活主动性，同时，严格规范会议考勤制度，对于无故缺席会议等情况定期进行通报</w:t>
            </w:r>
            <w:r>
              <w:rPr>
                <w:rFonts w:hint="eastAsia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  <w:lang w:eastAsia="zh-CN"/>
              </w:rPr>
              <w:t>。</w:t>
            </w:r>
          </w:p>
        </w:tc>
        <w:tc>
          <w:tcPr>
            <w:tcW w:w="2054" w:type="dxa"/>
            <w:noWrap w:val="0"/>
            <w:vAlign w:val="center"/>
          </w:tcPr>
          <w:p w14:paraId="74B4F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（使用中文字体）"/>
                <w:b w:val="0"/>
                <w:bCs w:val="0"/>
                <w:color w:val="auto"/>
                <w:spacing w:val="6"/>
                <w:sz w:val="21"/>
                <w:szCs w:val="21"/>
                <w:highlight w:val="none"/>
                <w:u w:val="none" w:color="auto"/>
                <w:vertAlign w:val="baseline"/>
              </w:rPr>
            </w:pPr>
          </w:p>
        </w:tc>
      </w:tr>
    </w:tbl>
    <w:p w14:paraId="31312F70">
      <w:pPr>
        <w:pStyle w:val="9"/>
        <w:ind w:left="0" w:leftChars="0" w:firstLine="0" w:firstLineChars="0"/>
        <w:rPr>
          <w:rFonts w:hint="eastAsia" w:ascii="Times New Roman" w:hAnsi="Times New Roman" w:eastAsia="方正仿宋简体" w:cs="Times New Roman"/>
          <w:lang w:eastAsia="zh-CN"/>
        </w:rPr>
      </w:pPr>
    </w:p>
    <w:p w14:paraId="5296AF71">
      <w:pPr>
        <w:pStyle w:val="9"/>
        <w:rPr>
          <w:rFonts w:hint="eastAsia" w:ascii="Times New Roman" w:hAnsi="Times New Roman" w:eastAsia="方正仿宋简体" w:cs="Times New Roman"/>
          <w:lang w:eastAsia="zh-CN"/>
        </w:rPr>
      </w:pPr>
    </w:p>
    <w:p w14:paraId="78907FB6">
      <w:pPr>
        <w:pStyle w:val="9"/>
        <w:rPr>
          <w:rFonts w:hint="eastAsia" w:ascii="Times New Roman" w:hAnsi="Times New Roman" w:eastAsia="方正仿宋简体" w:cs="Times New Roman"/>
          <w:lang w:eastAsia="zh-CN"/>
        </w:rPr>
      </w:pPr>
    </w:p>
    <w:p w14:paraId="7BC6DAED">
      <w:pPr>
        <w:pStyle w:val="9"/>
        <w:rPr>
          <w:rFonts w:hint="eastAsia" w:ascii="Times New Roman" w:hAnsi="Times New Roman" w:eastAsia="方正仿宋简体" w:cs="Times New Roman"/>
          <w:lang w:eastAsia="zh-CN"/>
        </w:rPr>
      </w:pPr>
    </w:p>
    <w:p w14:paraId="315A3E38">
      <w:pPr>
        <w:pStyle w:val="9"/>
        <w:rPr>
          <w:rFonts w:hint="eastAsia" w:ascii="Times New Roman" w:hAnsi="Times New Roman" w:eastAsia="方正仿宋简体" w:cs="Times New Roman"/>
          <w:lang w:eastAsia="zh-CN"/>
        </w:rPr>
      </w:pPr>
    </w:p>
    <w:p w14:paraId="53234FD8">
      <w:pPr>
        <w:pStyle w:val="9"/>
        <w:rPr>
          <w:rFonts w:hint="eastAsia" w:ascii="Times New Roman" w:hAnsi="Times New Roman" w:eastAsia="方正仿宋简体" w:cs="Times New Roman"/>
          <w:lang w:eastAsia="zh-CN"/>
        </w:rPr>
      </w:pPr>
    </w:p>
    <w:p w14:paraId="5B245AC8">
      <w:pPr>
        <w:pStyle w:val="9"/>
        <w:rPr>
          <w:rFonts w:hint="eastAsia" w:ascii="Times New Roman" w:hAnsi="Times New Roman" w:eastAsia="方正仿宋简体" w:cs="Times New Roman"/>
          <w:lang w:eastAsia="zh-CN"/>
        </w:rPr>
      </w:pPr>
    </w:p>
    <w:p w14:paraId="3BBCFF9F">
      <w:pPr>
        <w:pStyle w:val="9"/>
        <w:rPr>
          <w:rFonts w:hint="eastAsia" w:ascii="Times New Roman" w:hAnsi="Times New Roman" w:eastAsia="方正仿宋简体" w:cs="Times New Roman"/>
          <w:lang w:eastAsia="zh-CN"/>
        </w:rPr>
      </w:pPr>
    </w:p>
    <w:p w14:paraId="6F4D8894">
      <w:pPr>
        <w:pStyle w:val="9"/>
        <w:rPr>
          <w:rFonts w:hint="eastAsia" w:ascii="Times New Roman" w:hAnsi="Times New Roman" w:eastAsia="方正仿宋简体" w:cs="Times New Roman"/>
          <w:lang w:eastAsia="zh-CN"/>
        </w:rPr>
      </w:pPr>
    </w:p>
    <w:p w14:paraId="01BA2ECB">
      <w:pPr>
        <w:pStyle w:val="9"/>
        <w:rPr>
          <w:rFonts w:hint="eastAsia" w:ascii="Times New Roman" w:hAnsi="Times New Roman" w:eastAsia="方正仿宋简体" w:cs="Times New Roman"/>
          <w:lang w:eastAsia="zh-CN"/>
        </w:rPr>
      </w:pPr>
    </w:p>
    <w:p w14:paraId="388B745E"/>
    <w:sectPr>
      <w:footerReference r:id="rId3" w:type="default"/>
      <w:pgSz w:w="16838" w:h="11906" w:orient="landscape"/>
      <w:pgMar w:top="1587" w:right="2211" w:bottom="1474" w:left="187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（使用中文字体）">
    <w:altName w:val="yyb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yyb">
    <w:panose1 w:val="020B0200000000000000"/>
    <w:charset w:val="86"/>
    <w:family w:val="auto"/>
    <w:pitch w:val="default"/>
    <w:sig w:usb0="20000083" w:usb1="10000000" w:usb2="00000016" w:usb3="00000000" w:csb0="600601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148AD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E1E023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E1E023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B6F5EE"/>
    <w:multiLevelType w:val="singleLevel"/>
    <w:tmpl w:val="BDB6F5EE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BDF8162"/>
    <w:multiLevelType w:val="singleLevel"/>
    <w:tmpl w:val="EBDF8162"/>
    <w:lvl w:ilvl="0" w:tentative="0">
      <w:start w:val="1"/>
      <w:numFmt w:val="chineseCounting"/>
      <w:pStyle w:val="2"/>
      <w:suff w:val="nothing"/>
      <w:lvlText w:val="（%1）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745DDF"/>
    <w:rsid w:val="2874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unhideWhenUsed/>
    <w:qFormat/>
    <w:uiPriority w:val="0"/>
    <w:pPr>
      <w:keepNext/>
      <w:keepLines/>
      <w:widowControl w:val="0"/>
      <w:numPr>
        <w:ilvl w:val="0"/>
        <w:numId w:val="1"/>
      </w:numPr>
      <w:spacing w:line="560" w:lineRule="exact"/>
      <w:ind w:firstLine="880" w:firstLineChars="200"/>
      <w:jc w:val="both"/>
      <w:outlineLvl w:val="1"/>
    </w:pPr>
    <w:rPr>
      <w:rFonts w:ascii="Times New Roman" w:hAnsi="Times New Roman" w:eastAsia="方正楷体简体" w:cs="Times New Roman"/>
      <w:kern w:val="2"/>
      <w:sz w:val="34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qFormat/>
    <w:uiPriority w:val="0"/>
    <w:pPr>
      <w:widowControl w:val="0"/>
      <w:spacing w:after="120" w:afterLines="0" w:afterAutospacing="0" w:line="480" w:lineRule="auto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7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Normal Indent1"/>
    <w:basedOn w:val="10"/>
    <w:qFormat/>
    <w:uiPriority w:val="0"/>
    <w:pPr>
      <w:ind w:firstLine="420" w:firstLineChars="200"/>
    </w:pPr>
  </w:style>
  <w:style w:type="paragraph" w:customStyle="1" w:styleId="10">
    <w:name w:val="正文 New New New"/>
    <w:next w:val="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2026-09-03T06:22:00Z</dcterms:created>
  <dc:creator>在水一方</dc:creator>
  <cp:lastModifiedBy>在水一方</cp:lastModifiedBy>
  <dcterms:modified xsi:type="dcterms:W3CDTF">2026-09-03T06:31:23Z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14F8DC7EB3EB42C2AC7355FAAC689CBF_11</vt:lpwstr>
  </property>
  <property fmtid="{D5CDD505-2E9C-101B-9397-08002B2CF9AE}" pid="4" name="KSOTemplateDocerSaveRecord">
    <vt:lpwstr>eyJoZGlkIjoiZjVkZGY1M2E5OTE3ZDk1MzRmZjIzNDNkMTIxMTcxYmIiLCJ1c2VySWQiOiI0NjM0MDM3NDMifQ==</vt:lpwstr>
  </property>
</Properties>
</file>